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ZAŁĄCZNIK NR 4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DO KONCEPCJI E-MATERIAŁÓW DO KSZTAŁCENIA ZAWODOWEGO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Arial" w:cs="Arial" w:eastAsia="Arial" w:hAnsi="Arial"/>
          <w:b w:val="1"/>
          <w:i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WYKAZ E-MATERIAŁÓW/E-ZASOBÓW DLA BRANŻY CHEMICZNEJ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br w:type="column"/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E-ZASOBY DO KWALIFIKACJI: CHM.01. Obsługa maszyn i urządzeń do przetwórstwa tworzyw sztucznych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ZAWÓD: Operator maszyn i urządzeń do przetwórstwa tworzyw sztucznych 814209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33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22"/>
        <w:gridCol w:w="3443"/>
        <w:gridCol w:w="10370"/>
        <w:tblGridChange w:id="0">
          <w:tblGrid>
            <w:gridCol w:w="522"/>
            <w:gridCol w:w="3443"/>
            <w:gridCol w:w="10370"/>
          </w:tblGrid>
        </w:tblGridChange>
      </w:tblGrid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TYTUŁ E-ZASOBU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WYKAZ MATERIAŁÓW MULTIMEDIALNYCH WCHODZĄCYCH W SKŁAD E-ZASOBU</w:t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Mechanizmy robocze maszyn</w:t>
              <w:br w:type="textWrapping"/>
              <w:t xml:space="preserve"> i urządzeń do przetwórstwa tworzyw sztucznych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Galeria zdjęć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przedstawiająca zasady rysunku technicznego, tolerancje i pasowanie oraz podstawy normowania.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Animacja w 2D/3D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(interaktywny model 3D) części maszyn. Omówienie części maszyn z wizualizacją poszczególnych elementów, pozwalające je obracać i pokazywać z każdej strony. W przypadku łańcuchów kinematycznych i elementów ruchomych wizualizację pracy mechanizmu z zaznaczonymi sposobami doprowadzania czynnika roboczego,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Wprowadzenie do przetwórstwa tworzyw sztucznych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Plansza/schemat/grafika interaktywna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przedstawiająca narzędzia i urządzenia do kształtowania wyrobów z tworzyw sztucznych. 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Symulator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(symulacja programu komputerowego)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do sporządzania dokumentacji.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Użytkowanie maszyn do przetwórstwa tworzyw sztucznych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Wizualizacja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wybranych maszyn z możliwością pokazania ich z każdej strony plus opis przeznaczenia maszyny w 2D/3D. 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Animacja w 2D/3D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mechanizmów wykonawczych maszyn i urządzeń do przetwórstwa tworzyw sztucznych z animacją ich pracy. umożliwiająca pokazanie budowy elementów wykonawczych i ich zasadę działania. 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Plansza/schemat/grafika interaktywna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(interaktywna prezentacja) pracy maszyny po jej uruchomieniu np.: włączamy wtryskarkę i na przekroju lub widoku maszyny widzimy, jak tworzywo sztuczne jest pobierane z zasobnika, uplastyczniane i wtryskiwane przez dyszę do formy.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Wykonywanie wyrobów z tworzyw sztucznych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Film instruktażowy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przedstawiający sposób przygotowania tworzyw sztucznych do przetwórstwa.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Galeria zdjęć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wybranych maszyn do przetwórstwa tworzyw sztucznych.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Symulator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obsługa maszyn i urządzeń do wytwarzania wyrobów z tworzyw sztucznych.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000000" w:rsidDel="00000000" w:rsidP="00000000" w:rsidRDefault="00000000" w:rsidRPr="00000000" w14:paraId="00000023">
      <w:pPr>
        <w:spacing w:line="240" w:lineRule="auto"/>
        <w:jc w:val="lef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CHM.02. Eksploatacja maszyn i urządzeń przemysłu chemicznego </w:t>
      </w:r>
    </w:p>
    <w:p w:rsidR="00000000" w:rsidDel="00000000" w:rsidP="00000000" w:rsidRDefault="00000000" w:rsidRPr="00000000" w14:paraId="0000002C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ZAWÓD/ZAWODY: Operator urządzeń przemysłu chemicznego 813134, Technik Technologii chemicznej 311603</w:t>
      </w:r>
    </w:p>
    <w:p w:rsidR="00000000" w:rsidDel="00000000" w:rsidP="00000000" w:rsidRDefault="00000000" w:rsidRPr="00000000" w14:paraId="0000002D">
      <w:pPr>
        <w:spacing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99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20"/>
        <w:gridCol w:w="3443"/>
        <w:gridCol w:w="10031"/>
        <w:tblGridChange w:id="0">
          <w:tblGrid>
            <w:gridCol w:w="520"/>
            <w:gridCol w:w="3443"/>
            <w:gridCol w:w="10031"/>
          </w:tblGrid>
        </w:tblGridChange>
      </w:tblGrid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TYTUŁ E-ZASOBU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WYKAZ MATERIAŁÓW MULTIMEDIALNYCH WCHODZĄCYCH W SKŁAD E-ZASOBU</w:t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Maszyny, aparaty i urządzenia przemysłu chemicznym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Animacja 3D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– funkcjonowanie, budowa maszyn, aparatów i urządzeń, Interaktywna prezentacja pozwalająca np. pokazać budowę elementów wykonawczych maszyny/urządzenia stosowanych w przemyśle chemicznym z animacją ich pracy.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Sekwencje filmowe –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fragment filmu prezentujący układ chronologicznie zestawionych zabiegów związanych z konserwacją i przygotowaniem maszyn i urządzeń do pracy.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Substancje niebezpieczne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Film instruktażowy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(tutorial)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E-book -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przedstawiający zagadnienia dotyczące substancji niebezpiecznych ich znakowania i przechowywania.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Kontrola przebiegu procesów technologicznych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Plansza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schemat interaktywny 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Gra wcielanie się w rolę 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line="240" w:lineRule="auto"/>
        <w:jc w:val="lef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E-ZASOBY DO KWALIFIKACJI: CHM.05 Ocena stanu środowiska, planowanie i realizacja zadań w ochronie środowiska</w:t>
      </w:r>
    </w:p>
    <w:p w:rsidR="00000000" w:rsidDel="00000000" w:rsidP="00000000" w:rsidRDefault="00000000" w:rsidRPr="00000000" w14:paraId="00000044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ZAWÓD/ZAWODY: Technik ochrony środowiska 325511</w:t>
      </w:r>
    </w:p>
    <w:p w:rsidR="00000000" w:rsidDel="00000000" w:rsidP="00000000" w:rsidRDefault="00000000" w:rsidRPr="00000000" w14:paraId="00000045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994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17"/>
        <w:gridCol w:w="2650"/>
        <w:gridCol w:w="10827"/>
        <w:tblGridChange w:id="0">
          <w:tblGrid>
            <w:gridCol w:w="517"/>
            <w:gridCol w:w="2650"/>
            <w:gridCol w:w="10827"/>
          </w:tblGrid>
        </w:tblGridChange>
      </w:tblGrid>
      <w:tr>
        <w:trPr>
          <w:trHeight w:val="269" w:hRule="atLeast"/>
        </w:trPr>
        <w:tc>
          <w:tcPr>
            <w:vAlign w:val="center"/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TYTUŁ</w:t>
            </w:r>
          </w:p>
          <w:p w:rsidR="00000000" w:rsidDel="00000000" w:rsidP="00000000" w:rsidRDefault="00000000" w:rsidRPr="00000000" w14:paraId="00000048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E-ZASOBU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WYKAZ MATERIAŁÓW MULTIMEDIALNYCH WCHODZĄCYCH W SKŁAD E-ZASOBU</w:t>
            </w:r>
          </w:p>
        </w:tc>
      </w:tr>
      <w:tr>
        <w:trPr>
          <w:trHeight w:val="269" w:hRule="atLeast"/>
        </w:trPr>
        <w:tc>
          <w:tcPr>
            <w:vAlign w:val="center"/>
          </w:tcPr>
          <w:p w:rsidR="00000000" w:rsidDel="00000000" w:rsidP="00000000" w:rsidRDefault="00000000" w:rsidRPr="00000000" w14:paraId="0000004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Stosowanie podstaw ochrony środowiska </w:t>
              <w:br w:type="textWrapping"/>
              <w:t xml:space="preserve">w zawodzie technik ochrony środowiska.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Film edukacyjny-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dot. rodzaju wód powierzchniowych i podziemnych,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Film edukacyjny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- dot. procesów i zjawisk zachodzących w atmosferze,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Plansza/schemat/grafika interaktywna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– klasyfikacja gleb,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>
            <w:vAlign w:val="center"/>
          </w:tcPr>
          <w:p w:rsidR="00000000" w:rsidDel="00000000" w:rsidP="00000000" w:rsidRDefault="00000000" w:rsidRPr="00000000" w14:paraId="0000005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Monitorowanie poziomu zanieczyszczeń środowiska  ( powietrza, wód i gleb)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Galeria zdjęć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– dot. rodzajów dokumentacji technicznej , kart charakterystyki, norm , instrukcji, oraz ich zasad stosowania.,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Sekwencje filmowe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– dot. prowadzenia określonej metody  badań procesów zachodzących w środowisku,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Symulator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dot. dobierania odczynników chemicznych niezbędnych do badań laboratoryjnych procesów zachodzących w środowisku,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>
            <w:vAlign w:val="center"/>
          </w:tcPr>
          <w:p w:rsidR="00000000" w:rsidDel="00000000" w:rsidP="00000000" w:rsidRDefault="00000000" w:rsidRPr="00000000" w14:paraId="0000005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pos="4536"/>
                <w:tab w:val="right" w:pos="9072"/>
                <w:tab w:val="left" w:pos="708"/>
              </w:tabs>
              <w:spacing w:line="240" w:lineRule="auto"/>
              <w:jc w:val="left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Ocena stopnia zanieczyszczenia środowiska oraz planowanie i realizacja zadań na rzecz ochrony środowiska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pos="4536"/>
                <w:tab w:val="right" w:pos="9072"/>
                <w:tab w:val="left" w:pos="708"/>
              </w:tabs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Film edukacyjny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– dot. metod ochrony wód i oczyszczania ścieków,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pos="4536"/>
                <w:tab w:val="right" w:pos="9072"/>
                <w:tab w:val="left" w:pos="708"/>
              </w:tabs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Film edukacyjny -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dot. źródeł zanieczyszczeń i metod ochrony powietrza,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pos="4536"/>
                <w:tab w:val="right" w:pos="9072"/>
                <w:tab w:val="left" w:pos="708"/>
              </w:tabs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Galeria zdjęć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– dot. źródeł ochrony gleb, oraz metod ochrony gleb przed degradacją,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pos="4536"/>
                <w:tab w:val="right" w:pos="9072"/>
                <w:tab w:val="left" w:pos="708"/>
              </w:tabs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pos="4536"/>
                <w:tab w:val="right" w:pos="9072"/>
                <w:tab w:val="left" w:pos="708"/>
              </w:tabs>
              <w:spacing w:line="240" w:lineRule="auto"/>
              <w:jc w:val="left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Gospodarka odpadami komunalnymi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Film instruktażowy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(tutoral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)– właściwe planowanie i prowadzenia gospodarki odpadami komunalnymi.,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Film edukacyjny-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dot. rodzajów odpadów komunalnych,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Sekwencje filmowe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-dot. rodzajów stosowanych technologii,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60" w:hRule="atLeast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pos="4536"/>
                <w:tab w:val="right" w:pos="9072"/>
                <w:tab w:val="left" w:pos="708"/>
              </w:tabs>
              <w:spacing w:line="240" w:lineRule="auto"/>
              <w:jc w:val="left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Gospodarka odpadami przemysłowymi</w:t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pos="4536"/>
                <w:tab w:val="right" w:pos="9072"/>
                <w:tab w:val="left" w:pos="708"/>
              </w:tabs>
              <w:spacing w:line="240" w:lineRule="auto"/>
              <w:jc w:val="left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pos="4536"/>
                <w:tab w:val="right" w:pos="9072"/>
                <w:tab w:val="left" w:pos="708"/>
              </w:tabs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Wycieczka wirtualna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do zakładów gospodarki odpadami, celem poznania technologii,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pos="4536"/>
                <w:tab w:val="right" w:pos="9072"/>
                <w:tab w:val="left" w:pos="708"/>
              </w:tabs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Film edukacyjny-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dot. rodzaju odpadów przemysłowych,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pos="4536"/>
                <w:tab w:val="right" w:pos="9072"/>
                <w:tab w:val="left" w:pos="708"/>
              </w:tabs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Film edukacyjny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– obrazujący technologie gospodarki odpadami przemysłowymi,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pos="4536"/>
                <w:tab w:val="right" w:pos="9072"/>
                <w:tab w:val="left" w:pos="708"/>
              </w:tabs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000000" w:rsidDel="00000000" w:rsidP="00000000" w:rsidRDefault="00000000" w:rsidRPr="00000000" w14:paraId="00000069">
      <w:pPr>
        <w:spacing w:line="240" w:lineRule="auto"/>
        <w:jc w:val="lef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E-ZASOBY DO KWALIFIKACJI: CHM.06. Organizacja i kontrolowanie procesów technologicznych w przemyśle chemicznym</w:t>
      </w:r>
    </w:p>
    <w:p w:rsidR="00000000" w:rsidDel="00000000" w:rsidP="00000000" w:rsidRDefault="00000000" w:rsidRPr="00000000" w14:paraId="0000006C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ZAWÓD/ZAWODY: Technik technologii chemicznej 311603 </w:t>
      </w:r>
    </w:p>
    <w:p w:rsidR="00000000" w:rsidDel="00000000" w:rsidP="00000000" w:rsidRDefault="00000000" w:rsidRPr="00000000" w14:paraId="0000006D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399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20"/>
        <w:gridCol w:w="3443"/>
        <w:gridCol w:w="10031"/>
        <w:tblGridChange w:id="0">
          <w:tblGrid>
            <w:gridCol w:w="520"/>
            <w:gridCol w:w="3443"/>
            <w:gridCol w:w="10031"/>
          </w:tblGrid>
        </w:tblGridChange>
      </w:tblGrid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TYTUŁ E-ZASOBU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WYKAZ MATERIAŁÓW MULTIMEDIALNYCH WCHODZĄCYCH W SKŁAD E-ZASOBU</w:t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Metody pomiarowe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Plansza/schemat/grafika interaktywna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– plansza interaktywna prezentująca metody pomiarowe stosowane w procesach technologicznych, z możliwością rozwijania informacji o danym elemencie.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Atlas interaktywny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- metody pomiarowe stosowane w badaniach laboratoryjnych i procesach przemysłowych.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Organizacja procesów technologicznych przemysłu chemicznego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Mapa interaktywna-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zawierająca charakterystyki elementów procesu technologicznego w przedsiębiorstwie chemicznym. Grafika z zaznaczonymi elementami, z możliwością rozwijania informacji o zachodzących procesach, surowcach podstawowych i pomocniczych, maszynach i urządzeniach.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Film instruktażowy (tutoral)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– prezentujący stanowiska w zakładzie pracy w zakładzie chemicznym.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Interaktywne narzędzie typu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scenario-based learning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uczeń rozwiązuje problem dotyczący organizacji procesów technologicznych etapami: zadanie do rozwiązania może być zaprezentowane w postaci tekstu lub pliku audiowizualnego (np. film interaktywny), po podjętej decyzji (wybór tak/nie; wybór jednej z wielu ścieżek) pojawia się informacja zwrotna i kolejny etap zadania.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Badania laboratoryjne stosowane w przemyśle chemicznym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Gra edukacyjna -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quiz wiedzy o badaniach laboratoryjnych- jak sobie poradzisz?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Wirtualne laboratorium -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Uczniowie realizują eksperyment dotyczący badań laboratoryjnych będący symulacją zjawisk zachodzących w rzeczywistym laboratorium. 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line="240" w:lineRule="auto"/>
        <w:rPr>
          <w:rFonts w:ascii="Arial" w:cs="Arial" w:eastAsia="Arial" w:hAnsi="Arial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1906" w:w="16838"/>
      <w:pgMar w:bottom="1417" w:top="1417" w:left="1417" w:right="1417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-245108</wp:posOffset>
          </wp:positionH>
          <wp:positionV relativeFrom="paragraph">
            <wp:posOffset>-501013</wp:posOffset>
          </wp:positionV>
          <wp:extent cx="9420225" cy="1045029"/>
          <wp:effectExtent b="0" l="0" r="0" t="0"/>
          <wp:wrapSquare wrapText="bothSides" distB="0" distT="0" distL="114300" distR="114300"/>
          <wp:docPr id="12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-597714</wp:posOffset>
          </wp:positionH>
          <wp:positionV relativeFrom="paragraph">
            <wp:posOffset>-242749</wp:posOffset>
          </wp:positionV>
          <wp:extent cx="10389870" cy="1207770"/>
          <wp:effectExtent b="0" l="0" r="0" t="0"/>
          <wp:wrapSquare wrapText="bothSides" distB="0" distT="0" distL="114300" distR="114300"/>
          <wp:docPr id="1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389870" cy="120777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2202180" cy="551815"/>
              <wp:effectExtent b="0" l="0" r="0" t="0"/>
              <wp:wrapNone/>
              <wp:docPr id="10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 rot="-5400000">
                        <a:off x="4254435" y="3513618"/>
                        <a:ext cx="2183130" cy="532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Strona</w:t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PAGE    \* MERGEFORMAT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4"/>
                              <w:vertAlign w:val="baseline"/>
                            </w:rPr>
                            <w:t xml:space="preserve">3</w:t>
                          </w:r>
                        </w:p>
                      </w:txbxContent>
                    </wps:txbx>
                    <wps:bodyPr anchorCtr="0" anchor="ctr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2202180" cy="551815"/>
              <wp:effectExtent b="0" l="0" r="0" t="0"/>
              <wp:wrapNone/>
              <wp:docPr id="10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02180" cy="55181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cs="Arial" w:eastAsia="Arial" w:hAnsi="Arial"/>
      </w:rPr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360" w:hanging="360"/>
      </w:pPr>
      <w:rPr>
        <w:rFonts w:ascii="Arial" w:cs="Arial" w:eastAsia="Arial" w:hAnsi="Arial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Arial" w:cs="Arial" w:eastAsia="Arial" w:hAnsi="Arial"/>
      <w:b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1D3674"/>
  </w:style>
  <w:style w:type="paragraph" w:styleId="Nagwek1">
    <w:name w:val="heading 1"/>
    <w:basedOn w:val="Normalny"/>
    <w:next w:val="Normalny"/>
    <w:link w:val="Nagwek1Znak"/>
    <w:uiPriority w:val="99"/>
    <w:qFormat w:val="1"/>
    <w:rsid w:val="001D3674"/>
    <w:pPr>
      <w:keepNext w:val="1"/>
      <w:keepLines w:val="1"/>
      <w:spacing w:before="240"/>
      <w:outlineLvl w:val="0"/>
    </w:pPr>
    <w:rPr>
      <w:rFonts w:ascii="Arial" w:hAnsi="Arial" w:cstheme="majorBidi" w:eastAsiaTheme="majorEastAsia"/>
      <w:b w:val="1"/>
      <w:sz w:val="20"/>
      <w:szCs w:val="32"/>
    </w:rPr>
  </w:style>
  <w:style w:type="paragraph" w:styleId="Nagwek2">
    <w:name w:val="heading 2"/>
    <w:basedOn w:val="Normalny"/>
    <w:next w:val="Normalny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Nagwek1Znak" w:customStyle="1">
    <w:name w:val="Nagłówek 1 Znak"/>
    <w:basedOn w:val="Domylnaczcionkaakapitu"/>
    <w:link w:val="Nagwek1"/>
    <w:uiPriority w:val="99"/>
    <w:rsid w:val="001D3674"/>
    <w:rPr>
      <w:rFonts w:ascii="Arial" w:hAnsi="Arial" w:cstheme="majorBidi" w:eastAsiaTheme="majorEastAsia"/>
      <w:b w:val="1"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 w:val="1"/>
    <w:rsid w:val="001D3674"/>
    <w:pPr>
      <w:ind w:left="720"/>
      <w:contextualSpacing w:val="1"/>
    </w:pPr>
  </w:style>
  <w:style w:type="table" w:styleId="Tabela-Siatka">
    <w:name w:val="Table Grid"/>
    <w:basedOn w:val="Standardowy"/>
    <w:uiPriority w:val="59"/>
    <w:qFormat w:val="1"/>
    <w:rsid w:val="001D3674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1D3674"/>
  </w:style>
  <w:style w:type="paragraph" w:styleId="Nagwek">
    <w:name w:val="header"/>
    <w:basedOn w:val="Normalny"/>
    <w:link w:val="NagwekZnak"/>
    <w:uiPriority w:val="99"/>
    <w:unhideWhenUsed w:val="1"/>
    <w:rsid w:val="00025702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 w:val="1"/>
    <w:rsid w:val="00025702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025702"/>
  </w:style>
  <w:style w:type="table" w:styleId="Tabela-Siatka1" w:customStyle="1">
    <w:name w:val="Tabela - Siatka1"/>
    <w:basedOn w:val="Standardowy"/>
    <w:next w:val="Tabela-Siatka"/>
    <w:uiPriority w:val="59"/>
    <w:rsid w:val="00C20D05"/>
    <w:pPr>
      <w:spacing w:line="240" w:lineRule="auto"/>
    </w:pPr>
    <w:rPr>
      <w:rFonts w:eastAsia="Times New Roman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L29oDUYHddNg/JJo1U4vg5Ujrg==">AMUW2mWP4AeuKn5tjPkCWY7Z5ODqY5lAalCPJ7H6ivnJKSM8F0r0ux8UvvP+zbeJNK7q31or73cNoEeTEK3WsnvK+ziZYJSUashmhfDBvrOrdrbBmlG1WSRjm3WDLk0q7LB7n3z3QxIq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2020-06-15T07:29:00Z</dcterms:created>
  <dc:creator>Barbara Wałecka</dc:creator>
</cp:coreProperties>
</file>