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4A" w:rsidRPr="00207AD5" w:rsidRDefault="006A0130">
      <w:bookmarkStart w:id="0" w:name="_GoBack"/>
      <w:bookmarkEnd w:id="0"/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207AD5">
        <w:rPr>
          <w:rFonts w:ascii="Arial" w:hAnsi="Arial" w:cs="Arial"/>
          <w:b/>
          <w:sz w:val="32"/>
          <w:szCs w:val="32"/>
        </w:rPr>
        <w:t xml:space="preserve">ZAŁĄCZNIK NR </w:t>
      </w:r>
      <w:r w:rsidR="00906E4F" w:rsidRPr="00207AD5">
        <w:rPr>
          <w:rFonts w:ascii="Arial" w:hAnsi="Arial" w:cs="Arial"/>
          <w:b/>
          <w:sz w:val="32"/>
          <w:szCs w:val="32"/>
        </w:rPr>
        <w:t>6</w:t>
      </w: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207AD5">
        <w:rPr>
          <w:rFonts w:ascii="Arial" w:hAnsi="Arial" w:cs="Arial"/>
          <w:b/>
          <w:sz w:val="32"/>
          <w:szCs w:val="32"/>
        </w:rPr>
        <w:t xml:space="preserve">DO KONCEPCJI </w:t>
      </w:r>
      <w:r w:rsidR="00906E4F" w:rsidRPr="00207AD5">
        <w:rPr>
          <w:rFonts w:ascii="Arial" w:hAnsi="Arial" w:cs="Arial"/>
          <w:b/>
          <w:sz w:val="32"/>
          <w:szCs w:val="32"/>
        </w:rPr>
        <w:t>E-MATERIAŁÓW</w:t>
      </w:r>
      <w:r w:rsidRPr="00207AD5">
        <w:rPr>
          <w:rFonts w:ascii="Arial" w:hAnsi="Arial" w:cs="Arial"/>
          <w:b/>
          <w:sz w:val="32"/>
          <w:szCs w:val="32"/>
        </w:rPr>
        <w:t xml:space="preserve"> DO KSZTAŁCENIA ZAWODOWEGO</w:t>
      </w: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i/>
          <w:iCs/>
          <w:sz w:val="32"/>
          <w:szCs w:val="32"/>
        </w:rPr>
      </w:pPr>
      <w:r w:rsidRPr="00207AD5">
        <w:rPr>
          <w:rFonts w:ascii="Arial" w:hAnsi="Arial" w:cs="Arial"/>
          <w:b/>
          <w:sz w:val="32"/>
          <w:szCs w:val="32"/>
        </w:rPr>
        <w:t xml:space="preserve">WYKAZ </w:t>
      </w:r>
      <w:r w:rsidR="00906E4F" w:rsidRPr="00207AD5">
        <w:rPr>
          <w:rFonts w:ascii="Arial" w:hAnsi="Arial" w:cs="Arial"/>
          <w:b/>
          <w:sz w:val="32"/>
          <w:szCs w:val="32"/>
        </w:rPr>
        <w:t>E-MATERIAŁÓW/</w:t>
      </w:r>
      <w:r w:rsidRPr="00207AD5">
        <w:rPr>
          <w:rFonts w:ascii="Arial" w:hAnsi="Arial" w:cs="Arial"/>
          <w:b/>
          <w:sz w:val="32"/>
          <w:szCs w:val="32"/>
        </w:rPr>
        <w:t xml:space="preserve">E-ZASOBÓW DLA BRANŻY </w:t>
      </w:r>
      <w:r w:rsidR="00633611" w:rsidRPr="00207AD5">
        <w:rPr>
          <w:rFonts w:ascii="Arial" w:hAnsi="Arial" w:cs="Arial"/>
          <w:b/>
          <w:sz w:val="32"/>
          <w:szCs w:val="32"/>
        </w:rPr>
        <w:t>E</w:t>
      </w:r>
      <w:r w:rsidR="0040709A" w:rsidRPr="00207AD5">
        <w:rPr>
          <w:rFonts w:ascii="Arial" w:hAnsi="Arial" w:cs="Arial"/>
          <w:b/>
          <w:sz w:val="32"/>
          <w:szCs w:val="32"/>
        </w:rPr>
        <w:t>KONOMICZO-ADMINISTRACYJNEJ</w:t>
      </w: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Pr="00207AD5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1D3674" w:rsidRDefault="001D3674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E3345C" w:rsidRDefault="00E3345C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E3345C" w:rsidRDefault="00E3345C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E3345C" w:rsidRDefault="00E3345C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E3345C" w:rsidRPr="00207AD5" w:rsidRDefault="00E3345C" w:rsidP="001D3674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i/>
          <w:iCs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t xml:space="preserve">E-ZASOBY DO KWALIFIKACJI: EKA.01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Obsługa klienta w jednostkach administracji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Technik administracji 334306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1635"/>
        <w:gridCol w:w="11787"/>
      </w:tblGrid>
      <w:tr w:rsidR="00207AD5" w:rsidRPr="00207AD5" w:rsidTr="00557947">
        <w:trPr>
          <w:trHeight w:val="269"/>
        </w:trPr>
        <w:tc>
          <w:tcPr>
            <w:tcW w:w="465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35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787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07AD5" w:rsidRPr="00207AD5" w:rsidTr="00557947">
        <w:trPr>
          <w:trHeight w:val="269"/>
        </w:trPr>
        <w:tc>
          <w:tcPr>
            <w:tcW w:w="465" w:type="dxa"/>
          </w:tcPr>
          <w:p w:rsidR="00207AD5" w:rsidRPr="00207AD5" w:rsidRDefault="00207AD5" w:rsidP="005579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1635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Wewnętrzne i zewnętrzne akty prawne w administracji</w:t>
            </w:r>
          </w:p>
        </w:tc>
        <w:tc>
          <w:tcPr>
            <w:tcW w:w="11787" w:type="dxa"/>
          </w:tcPr>
          <w:p w:rsidR="00207AD5" w:rsidRPr="00207AD5" w:rsidRDefault="00207AD5" w:rsidP="0055794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Grafika 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przedstawiająca rodzaje aktów prawnych w administracji wg różnych kryteriów oraz ich cechy charakterystyczne.</w:t>
            </w:r>
          </w:p>
          <w:p w:rsidR="00207AD5" w:rsidRPr="00207AD5" w:rsidRDefault="00207AD5" w:rsidP="0055794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zawierająca charakterystyki pojęć: źródła prawa, elementy normy prawnej, stosunku prawnego, zdarzeń prawnych, gałęzi prawa, wykładni prawa.</w:t>
            </w:r>
          </w:p>
          <w:p w:rsidR="00207AD5" w:rsidRPr="00207AD5" w:rsidRDefault="00207AD5" w:rsidP="0055794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umożliwiająca tworzenie wewnętrznych aktów prawnych.</w:t>
            </w:r>
          </w:p>
          <w:p w:rsidR="00207AD5" w:rsidRPr="00207AD5" w:rsidRDefault="00207AD5" w:rsidP="0055794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465" w:type="dxa"/>
          </w:tcPr>
          <w:p w:rsidR="00207AD5" w:rsidRPr="00207AD5" w:rsidRDefault="00207AD5" w:rsidP="005579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35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Prawo cywilne</w:t>
            </w:r>
          </w:p>
        </w:tc>
        <w:tc>
          <w:tcPr>
            <w:tcW w:w="11787" w:type="dxa"/>
          </w:tcPr>
          <w:p w:rsidR="00207AD5" w:rsidRPr="00207AD5" w:rsidRDefault="00207AD5" w:rsidP="0055794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przedstawiająca podmiot i przedmiot prawa cywilnego</w:t>
            </w:r>
          </w:p>
          <w:p w:rsidR="00207AD5" w:rsidRPr="00207AD5" w:rsidRDefault="00207AD5" w:rsidP="0055794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dobieranie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pozwalający na dobór właściwej formy prawnej do określonej czynności prawnej</w:t>
            </w:r>
          </w:p>
          <w:p w:rsidR="00207AD5" w:rsidRPr="00207AD5" w:rsidRDefault="00207AD5" w:rsidP="0055794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do sporządzania</w:t>
            </w: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projektów wybranych umów cywilnoprawnych</w:t>
            </w:r>
          </w:p>
          <w:p w:rsidR="00207AD5" w:rsidRPr="00207AD5" w:rsidRDefault="00207AD5" w:rsidP="0055794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465" w:type="dxa"/>
          </w:tcPr>
          <w:p w:rsidR="00207AD5" w:rsidRPr="00207AD5" w:rsidRDefault="00207AD5" w:rsidP="005579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35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Wszczęcie postępowania administracyjnego</w:t>
            </w:r>
          </w:p>
        </w:tc>
        <w:tc>
          <w:tcPr>
            <w:tcW w:w="11787" w:type="dxa"/>
          </w:tcPr>
          <w:p w:rsidR="00207AD5" w:rsidRPr="00207AD5" w:rsidRDefault="00207AD5" w:rsidP="005579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Grafika 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zawierająca podstawowe pojęcia związane ze wszczęciem postępowania administracyjnego.</w:t>
            </w:r>
          </w:p>
          <w:p w:rsidR="00207AD5" w:rsidRPr="00207AD5" w:rsidRDefault="00207AD5" w:rsidP="005579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dobieranie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umożliwiający ustalenie sposobu wszczęcia postępowania, jego przebiegu oraz działań uczestników postępowania</w:t>
            </w:r>
          </w:p>
          <w:p w:rsidR="00207AD5" w:rsidRPr="00207AD5" w:rsidRDefault="00207AD5" w:rsidP="005579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zawierająca wzory zawiadomień o wszczęciu postępowania</w:t>
            </w:r>
          </w:p>
          <w:p w:rsidR="00207AD5" w:rsidRPr="00207AD5" w:rsidRDefault="00207AD5" w:rsidP="005579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</w:t>
            </w:r>
          </w:p>
        </w:tc>
      </w:tr>
      <w:tr w:rsidR="00207AD5" w:rsidRPr="00207AD5" w:rsidTr="00557947">
        <w:trPr>
          <w:trHeight w:val="269"/>
        </w:trPr>
        <w:tc>
          <w:tcPr>
            <w:tcW w:w="465" w:type="dxa"/>
          </w:tcPr>
          <w:p w:rsidR="00207AD5" w:rsidRPr="00207AD5" w:rsidRDefault="00207AD5" w:rsidP="005579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35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Prowadzenie postępowania administracyjnego</w:t>
            </w:r>
          </w:p>
        </w:tc>
        <w:tc>
          <w:tcPr>
            <w:tcW w:w="11787" w:type="dxa"/>
          </w:tcPr>
          <w:p w:rsidR="00207AD5" w:rsidRPr="00207AD5" w:rsidRDefault="00207AD5" w:rsidP="005579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dot. sporządzania dokumentów postępowania administracyjnego.</w:t>
            </w:r>
          </w:p>
          <w:p w:rsidR="00207AD5" w:rsidRPr="00207AD5" w:rsidRDefault="00207AD5" w:rsidP="005579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Grafika 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przedstawiająca czynności związane z rozprawą administracyjną.</w:t>
            </w:r>
          </w:p>
          <w:p w:rsidR="00207AD5" w:rsidRPr="00207AD5" w:rsidRDefault="00207AD5" w:rsidP="005579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dobieranie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umożliwiający sporządzanie projektów postanowień i decyzji administracyjnych.</w:t>
            </w:r>
          </w:p>
          <w:p w:rsidR="00207AD5" w:rsidRPr="00207AD5" w:rsidRDefault="00207AD5" w:rsidP="005579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</w:t>
            </w:r>
          </w:p>
        </w:tc>
      </w:tr>
    </w:tbl>
    <w:p w:rsidR="00207AD5" w:rsidRPr="00207AD5" w:rsidRDefault="00207AD5" w:rsidP="00207AD5"/>
    <w:p w:rsidR="00207AD5" w:rsidRPr="00207AD5" w:rsidRDefault="00207AD5" w:rsidP="00207AD5">
      <w:pPr>
        <w:spacing w:after="160" w:line="259" w:lineRule="auto"/>
        <w:jc w:val="left"/>
      </w:pPr>
      <w:r w:rsidRPr="00207AD5">
        <w:br w:type="page"/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i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EKA.02.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Organizacja i prowadzenie archiwum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Technik archiwista 441403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1740"/>
        <w:gridCol w:w="11450"/>
      </w:tblGrid>
      <w:tr w:rsidR="00207AD5" w:rsidRPr="00207AD5" w:rsidTr="00557947">
        <w:trPr>
          <w:trHeight w:val="269"/>
        </w:trPr>
        <w:tc>
          <w:tcPr>
            <w:tcW w:w="555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40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450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07AD5" w:rsidRPr="00207AD5" w:rsidTr="00557947">
        <w:trPr>
          <w:trHeight w:val="269"/>
        </w:trPr>
        <w:tc>
          <w:tcPr>
            <w:tcW w:w="555" w:type="dxa"/>
          </w:tcPr>
          <w:p w:rsidR="00207AD5" w:rsidRPr="00207AD5" w:rsidRDefault="00207AD5" w:rsidP="0055794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Sposoby zabezpieczenia akt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1450" w:type="dxa"/>
          </w:tcPr>
          <w:p w:rsidR="00207AD5" w:rsidRPr="00207AD5" w:rsidRDefault="00207AD5" w:rsidP="0055794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Sposoby zabezpieczania akt – Film prezentujący różne sposoby zabezpieczania zasobu aktowego z uwzględnieniem parametrów przechowywania różnego poszczególnych rodzajów dokumentacji, stosowania opakowań zabezpieczających, czynności związanych z porządkowaniem wewnętrznym akt, wykonywaniem zabiegów małej konserwacji oraz stosowania procedur zabezpieczania materiałów archiwalnych.</w:t>
            </w:r>
          </w:p>
          <w:p w:rsidR="00207AD5" w:rsidRPr="00207AD5" w:rsidRDefault="00207AD5" w:rsidP="0055794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 xml:space="preserve">Plansza interaktywna </w:t>
            </w:r>
            <w:r w:rsidRPr="00207AD5">
              <w:rPr>
                <w:rStyle w:val="tl8wme"/>
                <w:rFonts w:ascii="Arial" w:hAnsi="Arial" w:cs="Arial"/>
                <w:sz w:val="20"/>
                <w:szCs w:val="20"/>
              </w:rPr>
              <w:t>Sposoby oznaczania materiałów archiwalnych</w:t>
            </w:r>
          </w:p>
          <w:p w:rsidR="00207AD5" w:rsidRPr="00207AD5" w:rsidRDefault="00207AD5" w:rsidP="0055794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55" w:type="dxa"/>
          </w:tcPr>
          <w:p w:rsidR="00207AD5" w:rsidRPr="00207AD5" w:rsidRDefault="00207AD5" w:rsidP="0055794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Procedura brakowania dokumentacji niearchiwalnej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50" w:type="dxa"/>
          </w:tcPr>
          <w:p w:rsidR="00207AD5" w:rsidRPr="00207AD5" w:rsidRDefault="00207AD5" w:rsidP="0055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filmowe- </w:t>
            </w:r>
            <w:r w:rsidRPr="00207AD5">
              <w:rPr>
                <w:rFonts w:ascii="Arial" w:eastAsia="Arial" w:hAnsi="Arial" w:cs="Arial"/>
                <w:sz w:val="20"/>
                <w:szCs w:val="20"/>
                <w:u w:val="single"/>
              </w:rPr>
              <w:t>Pierwsza</w:t>
            </w: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informuje o podstawie prawnej w oparciu, o którą wydziela się dokumentację niearchiwalna do brakowania. </w:t>
            </w:r>
            <w:r w:rsidRPr="00207AD5">
              <w:rPr>
                <w:rFonts w:ascii="Arial" w:eastAsia="Arial" w:hAnsi="Arial" w:cs="Arial"/>
                <w:sz w:val="20"/>
                <w:szCs w:val="20"/>
                <w:u w:val="single"/>
              </w:rPr>
              <w:t>Druga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informuje jak prawidłowo wydzielić dokumentację do brakowania i jak sporządzić spisy zdawczo-odbiorcze wydzielonej dokumentacji, a na końcu jak sporządzić pismo przewodnie do właściwego archiwum państwowego z prośbą o uzyskanie zgody bądź opinii na wybrakowanie dok.</w:t>
            </w:r>
          </w:p>
          <w:p w:rsidR="00207AD5" w:rsidRPr="00207AD5" w:rsidRDefault="00207AD5" w:rsidP="0055794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55" w:type="dxa"/>
          </w:tcPr>
          <w:p w:rsidR="00207AD5" w:rsidRPr="00207AD5" w:rsidRDefault="00207AD5" w:rsidP="0055794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Przekazywanie archiwaliów do archiwum państwowego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1450" w:type="dxa"/>
          </w:tcPr>
          <w:p w:rsidR="00207AD5" w:rsidRPr="00207AD5" w:rsidRDefault="00207AD5" w:rsidP="0055794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instruktażowy-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pokazuje prawidłowe sporządzenie spisów zdawczo-odbiorczych materiałów archiwalnych (aktowych), ich przygotowanie pod kątem technicznym, tj. zszycie, oprawienie w teczki bezkwasowych, opisanie teczek, sporządzenie paginacji…</w:t>
            </w:r>
          </w:p>
          <w:p w:rsidR="00207AD5" w:rsidRPr="00207AD5" w:rsidRDefault="00207AD5" w:rsidP="0055794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207AD5" w:rsidRPr="00207AD5" w:rsidRDefault="00207AD5" w:rsidP="00207AD5"/>
    <w:p w:rsidR="00207AD5" w:rsidRPr="00207AD5" w:rsidRDefault="00207AD5" w:rsidP="00207AD5">
      <w:pPr>
        <w:spacing w:after="160" w:line="259" w:lineRule="auto"/>
        <w:jc w:val="left"/>
      </w:pPr>
      <w:r w:rsidRPr="00207AD5">
        <w:br w:type="page"/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lastRenderedPageBreak/>
        <w:t>E-ZASOBY DO KWALIFIKACJI:</w:t>
      </w:r>
      <w:r w:rsidRPr="00207AD5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Pr="00207AD5">
        <w:rPr>
          <w:rFonts w:ascii="Arial" w:eastAsia="Arial" w:hAnsi="Arial" w:cs="Arial"/>
          <w:b/>
          <w:sz w:val="20"/>
          <w:szCs w:val="20"/>
        </w:rPr>
        <w:t xml:space="preserve">EKA.03.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Opracowywanie materiałów archiwalnych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Technik archiwista 441403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1560"/>
        <w:gridCol w:w="11772"/>
      </w:tblGrid>
      <w:tr w:rsidR="00207AD5" w:rsidRPr="00207AD5" w:rsidTr="00557947">
        <w:trPr>
          <w:trHeight w:val="269"/>
        </w:trPr>
        <w:tc>
          <w:tcPr>
            <w:tcW w:w="555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560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772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07AD5" w:rsidRPr="00207AD5" w:rsidTr="00557947">
        <w:trPr>
          <w:trHeight w:val="269"/>
        </w:trPr>
        <w:tc>
          <w:tcPr>
            <w:tcW w:w="555" w:type="dxa"/>
          </w:tcPr>
          <w:p w:rsidR="00207AD5" w:rsidRPr="00207AD5" w:rsidRDefault="00207AD5" w:rsidP="0055794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Kopie bezpieczeństwa nośników danych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1772" w:type="dxa"/>
          </w:tcPr>
          <w:p w:rsidR="00207AD5" w:rsidRPr="00207AD5" w:rsidRDefault="00207AD5" w:rsidP="0055794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Kopie bezpieczeństwa nośników danych – Film sposoby sporządzania kopii bezpieczeństwa dla dokumentacji zapisanej na nośnikach danych z uwzględnieniem przepisów prawa w sprawie zabezpieczania dokumentacji, sposobów zabezpieczania kopii bezpieczeństwa oraz odtwarzania kopii dokumentacji w programach komputerowych.</w:t>
            </w:r>
          </w:p>
          <w:p w:rsidR="00207AD5" w:rsidRPr="00207AD5" w:rsidRDefault="00207AD5" w:rsidP="0055794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Infografika- </w:t>
            </w:r>
            <w:r w:rsidRPr="00207AD5">
              <w:rPr>
                <w:rFonts w:ascii="Arial" w:eastAsia="Arial" w:hAnsi="Arial" w:cs="Arial"/>
                <w:bCs/>
                <w:sz w:val="20"/>
                <w:szCs w:val="20"/>
              </w:rPr>
              <w:t>informatyczne nośniki danych.</w:t>
            </w:r>
          </w:p>
          <w:p w:rsidR="00207AD5" w:rsidRPr="00207AD5" w:rsidRDefault="00207AD5" w:rsidP="0055794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55" w:type="dxa"/>
          </w:tcPr>
          <w:p w:rsidR="00207AD5" w:rsidRPr="00207AD5" w:rsidRDefault="00207AD5" w:rsidP="0055794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Dziurawy tekst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1772" w:type="dxa"/>
          </w:tcPr>
          <w:p w:rsidR="00207AD5" w:rsidRPr="00207AD5" w:rsidRDefault="00207AD5" w:rsidP="005579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</w:t>
            </w:r>
            <w:sdt>
              <w:sdtPr>
                <w:tag w:val="goog_rdk_2"/>
                <w:id w:val="7009971"/>
              </w:sdtPr>
              <w:sdtEndPr/>
              <w:sdtContent/>
            </w:sdt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Program, gdzie uczeń będzie miał opisane postępowanie z dokumentacją w archiwum z pominięciem fachowych zwrotów np. Spis zdawczo - odbiorczy akt, Jednolity rzeczowy wykaz akt, foliacja czy karty udostępnień. W tekście, w tych miejscach gdzie te zwroty mają się znajdować pozostaną puste miejsca. Zadaniem ucznia będzie wypełnienie ich fachowym słownictwem.</w:t>
            </w:r>
          </w:p>
          <w:p w:rsidR="00207AD5" w:rsidRPr="00207AD5" w:rsidRDefault="00207AD5" w:rsidP="005579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55" w:type="dxa"/>
          </w:tcPr>
          <w:p w:rsidR="00207AD5" w:rsidRPr="00207AD5" w:rsidRDefault="00207AD5" w:rsidP="0055794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Jaki to dokument?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1772" w:type="dxa"/>
          </w:tcPr>
          <w:p w:rsidR="00207AD5" w:rsidRPr="00207AD5" w:rsidRDefault="00207AD5" w:rsidP="0055794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</w:t>
            </w:r>
            <w:sdt>
              <w:sdtPr>
                <w:tag w:val="goog_rdk_3"/>
                <w:id w:val="7009972"/>
              </w:sdtPr>
              <w:sdtEndPr/>
              <w:sdtContent/>
            </w:sdt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dobieranie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Program ćwiczeniowy, gdzie uczeń w oparciu o posiadaną wiedzę i pomoce ewidencyjne (np. JRWA) będzie dzielił,klasyfikował i kwalifikował pokazującą się kolejno na ekranie komputera dokumentację.</w:t>
            </w:r>
          </w:p>
          <w:p w:rsidR="00207AD5" w:rsidRPr="00207AD5" w:rsidRDefault="00207AD5" w:rsidP="0055794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br/>
              <w:t>i bibliografia, instrukcja użytkowania.</w:t>
            </w:r>
          </w:p>
        </w:tc>
      </w:tr>
    </w:tbl>
    <w:p w:rsidR="00207AD5" w:rsidRPr="00207AD5" w:rsidRDefault="00207AD5" w:rsidP="00207AD5"/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i/>
          <w:iCs/>
          <w:sz w:val="20"/>
          <w:szCs w:val="20"/>
        </w:rPr>
      </w:pPr>
      <w:r w:rsidRPr="00207AD5">
        <w:br w:type="page"/>
      </w:r>
      <w:r w:rsidRPr="00207AD5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EKA.04 Prowadzenie dokumentacji w jednostce organizacyjnej,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Technik ekonomista 331403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1864"/>
        <w:gridCol w:w="11645"/>
      </w:tblGrid>
      <w:tr w:rsidR="00207AD5" w:rsidRPr="00207AD5" w:rsidTr="00557947">
        <w:trPr>
          <w:trHeight w:val="269"/>
        </w:trPr>
        <w:tc>
          <w:tcPr>
            <w:tcW w:w="520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64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645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07AD5" w:rsidRPr="00207AD5" w:rsidTr="00557947">
        <w:trPr>
          <w:trHeight w:val="269"/>
        </w:trPr>
        <w:tc>
          <w:tcPr>
            <w:tcW w:w="520" w:type="dxa"/>
          </w:tcPr>
          <w:p w:rsidR="00207AD5" w:rsidRPr="00207AD5" w:rsidRDefault="00207AD5" w:rsidP="0055794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4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Prawa rynku i działanie mechanizmu rynkowego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645" w:type="dxa"/>
          </w:tcPr>
          <w:p w:rsidR="00207AD5" w:rsidRPr="00207AD5" w:rsidRDefault="00207AD5" w:rsidP="00557947">
            <w:pPr>
              <w:numPr>
                <w:ilvl w:val="0"/>
                <w:numId w:val="30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E-book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„Prawa rynku i działanie mechanizmu rynkowego”</w:t>
            </w: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podstawowe pojęcia związane z rynkiem, popytem, podażą</w:t>
            </w:r>
          </w:p>
          <w:p w:rsidR="00207AD5" w:rsidRPr="00207AD5" w:rsidRDefault="00207AD5" w:rsidP="00557947">
            <w:pPr>
              <w:numPr>
                <w:ilvl w:val="0"/>
                <w:numId w:val="30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Plansza interaktywna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„Popyt, elastyczność popytu, podaż, elastyczność podaży”.</w:t>
            </w:r>
          </w:p>
          <w:p w:rsidR="00207AD5" w:rsidRPr="00207AD5" w:rsidRDefault="00207AD5" w:rsidP="00557947">
            <w:pPr>
              <w:numPr>
                <w:ilvl w:val="0"/>
                <w:numId w:val="30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Plansza interaktywna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„Mechanizm rynkowy – kształtowanie się popytu i podaży, ceny rynkowej, nadwyżki i niedoboru rynkowego.”</w:t>
            </w:r>
          </w:p>
          <w:p w:rsidR="00207AD5" w:rsidRPr="00207AD5" w:rsidRDefault="00207AD5" w:rsidP="00557947">
            <w:pPr>
              <w:numPr>
                <w:ilvl w:val="0"/>
                <w:numId w:val="30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Film edukacyjny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–„Decyzje producenta funkcjonującego w różnych strukturach rynku” przedstawiający decyzje producentów w zakresie cen i rozmiarów produkcji, struktury rynku. </w:t>
            </w:r>
          </w:p>
          <w:p w:rsidR="00207AD5" w:rsidRPr="00207AD5" w:rsidRDefault="00207AD5" w:rsidP="00557947">
            <w:pPr>
              <w:numPr>
                <w:ilvl w:val="0"/>
                <w:numId w:val="30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Obudowa dydaktyczna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20" w:type="dxa"/>
          </w:tcPr>
          <w:p w:rsidR="00207AD5" w:rsidRPr="00207AD5" w:rsidRDefault="00207AD5" w:rsidP="0055794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64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Magazynowanie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645" w:type="dxa"/>
          </w:tcPr>
          <w:p w:rsidR="00207AD5" w:rsidRPr="00207AD5" w:rsidRDefault="00207AD5" w:rsidP="00557947">
            <w:pPr>
              <w:numPr>
                <w:ilvl w:val="0"/>
                <w:numId w:val="27"/>
              </w:numPr>
              <w:spacing w:line="240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Plansza interaktywna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„Klasyfikacja zapasów towarowych, rotacja zapasów” - przedstawia ustrukturyzowane informacje na temat rodzajów zapasów w jednostkach handlowych oraz sposobów obliczania rotacji zapasów</w:t>
            </w:r>
          </w:p>
          <w:p w:rsidR="00207AD5" w:rsidRPr="00207AD5" w:rsidRDefault="00207AD5" w:rsidP="00557947">
            <w:pPr>
              <w:numPr>
                <w:ilvl w:val="0"/>
                <w:numId w:val="27"/>
              </w:numPr>
              <w:spacing w:line="240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Film edukacyjny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„Zapasy materiałowe - zapotrzebowanie i normowanie zapasów materiałów” - obejmuje klasyfikację materiałów, klasyfikację zapasów, normowanie zużycia surowców i materiałów, materiałochłonność produkcji, normowanie zapasów, określenie zapotrzebowania na materiały i towary,</w:t>
            </w:r>
          </w:p>
          <w:p w:rsidR="00207AD5" w:rsidRPr="00207AD5" w:rsidRDefault="00207AD5" w:rsidP="00557947">
            <w:pPr>
              <w:numPr>
                <w:ilvl w:val="0"/>
                <w:numId w:val="27"/>
              </w:numPr>
              <w:spacing w:line="240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Dokumentacja interaktywna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„Dokumenty magazynowe” - dokumentacja związaną z przebiegiem procesu,</w:t>
            </w:r>
          </w:p>
          <w:p w:rsidR="00207AD5" w:rsidRPr="00207AD5" w:rsidRDefault="00207AD5" w:rsidP="00557947">
            <w:pPr>
              <w:numPr>
                <w:ilvl w:val="0"/>
                <w:numId w:val="27"/>
              </w:numPr>
              <w:spacing w:line="240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Galeria zdjęć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„Rodzaje magazynów” prezentacja różnych rodzajów magazynów z opisem</w:t>
            </w:r>
          </w:p>
          <w:p w:rsidR="00207AD5" w:rsidRPr="00207AD5" w:rsidRDefault="00207AD5" w:rsidP="00557947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Obudowa dydaktyczna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i/>
          <w:iCs/>
          <w:sz w:val="20"/>
          <w:szCs w:val="20"/>
        </w:rPr>
      </w:pP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 xml:space="preserve">EKA.05 Prowadzenie spraw kadrowo-płacowych i gospodarki finansowej jednostek organizacyjnych, 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i/>
          <w:iCs/>
          <w:sz w:val="20"/>
          <w:szCs w:val="20"/>
        </w:rPr>
      </w:pP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ZAWÓD/ZAWODY: Technik rachunkowości 431103 oraz Technik ekonomista 331403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0"/>
        <w:gridCol w:w="1864"/>
        <w:gridCol w:w="11503"/>
      </w:tblGrid>
      <w:tr w:rsidR="00207AD5" w:rsidRPr="00207AD5" w:rsidTr="00557947">
        <w:trPr>
          <w:trHeight w:val="269"/>
        </w:trPr>
        <w:tc>
          <w:tcPr>
            <w:tcW w:w="520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64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503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07AD5" w:rsidRPr="00207AD5" w:rsidTr="00557947">
        <w:trPr>
          <w:trHeight w:val="269"/>
        </w:trPr>
        <w:tc>
          <w:tcPr>
            <w:tcW w:w="520" w:type="dxa"/>
          </w:tcPr>
          <w:p w:rsidR="00207AD5" w:rsidRPr="00207AD5" w:rsidRDefault="00207AD5" w:rsidP="005579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1864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Rozliczanie wynagrodzeń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503" w:type="dxa"/>
          </w:tcPr>
          <w:p w:rsidR="00207AD5" w:rsidRPr="00207AD5" w:rsidRDefault="00207AD5" w:rsidP="0055794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Infografika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– objaśniająca systemy wynagradzania pracowników.</w:t>
            </w:r>
          </w:p>
          <w:p w:rsidR="00207AD5" w:rsidRPr="00207AD5" w:rsidRDefault="00207AD5" w:rsidP="0055794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Plansza 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– prezentująca składniki wynagrodzenia.</w:t>
            </w:r>
          </w:p>
          <w:p w:rsidR="00207AD5" w:rsidRPr="00207AD5" w:rsidRDefault="00207AD5" w:rsidP="0055794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– pozwalające na obliczanie wynagrodzenia tj. zasadniczego, za nieprzepracowany czas. </w:t>
            </w:r>
          </w:p>
          <w:p w:rsidR="00207AD5" w:rsidRPr="00207AD5" w:rsidRDefault="00207AD5" w:rsidP="00557947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20" w:type="dxa"/>
          </w:tcPr>
          <w:p w:rsidR="00207AD5" w:rsidRPr="00207AD5" w:rsidRDefault="00207AD5" w:rsidP="005579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1864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Rozliczenia podatkowe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1503" w:type="dxa"/>
          </w:tcPr>
          <w:p w:rsidR="00207AD5" w:rsidRPr="00207AD5" w:rsidRDefault="00207AD5" w:rsidP="0055794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-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prezentująca kategorie ekonomiczne z zakresu finansów np. podatek, opłata publiczna.</w:t>
            </w:r>
          </w:p>
          <w:p w:rsidR="00207AD5" w:rsidRPr="00207AD5" w:rsidRDefault="00207AD5" w:rsidP="0055794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Mapa myśli -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przedstawiająca klasyfikacje podatków oraz ich elementy.</w:t>
            </w:r>
          </w:p>
          <w:p w:rsidR="00207AD5" w:rsidRPr="00207AD5" w:rsidRDefault="00207AD5" w:rsidP="0055794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Schemat interaktywny -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obrazujący obliczanie zaliczki na podatek dochodowy od osób fizycznych prowadzących działalność gospodarczą.</w:t>
            </w:r>
          </w:p>
          <w:p w:rsidR="00207AD5" w:rsidRPr="00207AD5" w:rsidRDefault="00207AD5" w:rsidP="0055794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–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umożliwiająca sporządzenie rocznego zeznania podatkowego dla osób prowadzących i nieprowadzących działalności gospodarczej.</w:t>
            </w:r>
          </w:p>
          <w:p w:rsidR="00207AD5" w:rsidRPr="00207AD5" w:rsidRDefault="00207AD5" w:rsidP="0055794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07AD5">
        <w:br w:type="page"/>
      </w:r>
      <w:r w:rsidRPr="00207AD5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EKA.06. Wykonywanie prac biurowych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Technik Prac Biurowych 411004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1989"/>
        <w:gridCol w:w="11369"/>
      </w:tblGrid>
      <w:tr w:rsidR="00207AD5" w:rsidRPr="00207AD5" w:rsidTr="00557947">
        <w:trPr>
          <w:trHeight w:val="269"/>
        </w:trPr>
        <w:tc>
          <w:tcPr>
            <w:tcW w:w="529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9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369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07AD5" w:rsidRPr="00207AD5" w:rsidTr="00557947">
        <w:trPr>
          <w:trHeight w:val="269"/>
        </w:trPr>
        <w:tc>
          <w:tcPr>
            <w:tcW w:w="529" w:type="dxa"/>
          </w:tcPr>
          <w:p w:rsidR="00207AD5" w:rsidRPr="00207AD5" w:rsidRDefault="00207AD5" w:rsidP="0055794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Sporządzanie pism urzędowych i handlowych </w:t>
            </w:r>
          </w:p>
        </w:tc>
        <w:tc>
          <w:tcPr>
            <w:tcW w:w="11369" w:type="dxa"/>
          </w:tcPr>
          <w:p w:rsidR="00207AD5" w:rsidRPr="00207AD5" w:rsidRDefault="00207AD5" w:rsidP="0055794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Gra edukacyjna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– gracz ma za zadanie sfinalizowanie konkretnej transakcji lub załatwienie sprawy klienta poprzez wymianę korespondencji z klientami lub kontrahentami. Gra w wersji dla osób niewidomych i słabowidzących.</w:t>
            </w:r>
          </w:p>
          <w:p w:rsidR="00207AD5" w:rsidRPr="00207AD5" w:rsidRDefault="00207AD5" w:rsidP="0055794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–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interaktywne szablony pism urzędowych i handlowych z możliwością obsługiwania przez osoby z dysfunkcją wzroku</w:t>
            </w:r>
          </w:p>
          <w:p w:rsidR="00207AD5" w:rsidRPr="00207AD5" w:rsidRDefault="00207AD5" w:rsidP="0055794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dobieranie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– dobieranie elementów pisma do sporządzenia określonego dokumentu (struktura, układ graficzny, styl, itd.). Program w formie audio (dla osób niewidomych) i w wersji z animacją graficzną (dla osób słabowidzących).</w:t>
            </w:r>
          </w:p>
          <w:p w:rsidR="00207AD5" w:rsidRPr="00207AD5" w:rsidRDefault="00207AD5" w:rsidP="0055794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29" w:type="dxa"/>
          </w:tcPr>
          <w:p w:rsidR="00207AD5" w:rsidRPr="00207AD5" w:rsidRDefault="00207AD5" w:rsidP="0055794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Obsługa biura i sekretariatu przez pracowników niewidomych i słabowidzących</w:t>
            </w:r>
          </w:p>
        </w:tc>
        <w:tc>
          <w:tcPr>
            <w:tcW w:w="11369" w:type="dxa"/>
          </w:tcPr>
          <w:p w:rsidR="00207AD5" w:rsidRPr="00207AD5" w:rsidRDefault="00207AD5" w:rsidP="0055794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Gra „wcielanie się w role”-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gracz wciela się w rolę i wykonuje zadania zawodowe pracownika sekretariatu. Gra w wersji audio (dla osób niewidomych) i w wersji z animacją graficzną (dla osób słabowidzących).</w:t>
            </w:r>
          </w:p>
          <w:p w:rsidR="00207AD5" w:rsidRPr="00207AD5" w:rsidRDefault="00207AD5" w:rsidP="0055794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Program ćwiczeniowy do projektowania przez dobieranie –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program do projektowania wyposażenia biura lub sekretariatu. Dobieranie sprzętu biurowego i różnego rodzaju urządzeń wspomagających pracę osób z dysfunkcją wzroku do zadań zawodowych. Program w formie audio (dla osób niewidomych) i w wersji z grafiką (dla osób słabowidzących).</w:t>
            </w:r>
          </w:p>
          <w:p w:rsidR="00207AD5" w:rsidRPr="00207AD5" w:rsidRDefault="00207AD5" w:rsidP="0055794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Sekwencje filmowe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– film z audiodeskrypcją prezentujący obsługę biura /sekretariatu, obsługiwanie różnych sprzętów biurowych przez osoby z dysfunkcją wzroku, także przy użyciu urządzeń wspomagających. Istotnym elementem filmu są rzeczywiste odgłosy pracy sprzętów biurowych, rozmowy.</w:t>
            </w:r>
          </w:p>
          <w:p w:rsidR="00207AD5" w:rsidRPr="00207AD5" w:rsidRDefault="00207AD5" w:rsidP="0055794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Audiobook –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obsługiwanie sprzętu biurowego przez pracowników niewidomych i słabowidzących</w:t>
            </w:r>
          </w:p>
          <w:p w:rsidR="00207AD5" w:rsidRPr="00207AD5" w:rsidRDefault="00207AD5" w:rsidP="0055794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29" w:type="dxa"/>
          </w:tcPr>
          <w:p w:rsidR="00207AD5" w:rsidRPr="00207AD5" w:rsidRDefault="00207AD5" w:rsidP="0055794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Instrukcja kancelaryjna i jednolity rzeczowy wykaz akt</w:t>
            </w:r>
          </w:p>
        </w:tc>
        <w:tc>
          <w:tcPr>
            <w:tcW w:w="11369" w:type="dxa"/>
          </w:tcPr>
          <w:p w:rsidR="00207AD5" w:rsidRPr="00207AD5" w:rsidRDefault="00207AD5" w:rsidP="0055794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Tutorial –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przedstawiający sposób nadawania znaków spraw.</w:t>
            </w:r>
          </w:p>
          <w:p w:rsidR="00207AD5" w:rsidRPr="00207AD5" w:rsidRDefault="00207AD5" w:rsidP="0055794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–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umożliwiająca nadawanie znaków spraw.</w:t>
            </w:r>
          </w:p>
          <w:p w:rsidR="00207AD5" w:rsidRPr="00207AD5" w:rsidRDefault="00207AD5" w:rsidP="0055794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8"/>
              <w:jc w:val="left"/>
              <w:rPr>
                <w:rStyle w:val="tl8wme"/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Style w:val="tl8wme"/>
                <w:rFonts w:ascii="Arial" w:hAnsi="Arial" w:cs="Arial"/>
                <w:b/>
                <w:bCs/>
                <w:sz w:val="20"/>
                <w:szCs w:val="20"/>
              </w:rPr>
              <w:t xml:space="preserve">Dokumentacja interaktywna </w:t>
            </w:r>
            <w:r w:rsidRPr="00207AD5">
              <w:rPr>
                <w:rStyle w:val="tl8wme"/>
                <w:rFonts w:ascii="Arial" w:hAnsi="Arial" w:cs="Arial"/>
                <w:sz w:val="20"/>
                <w:szCs w:val="20"/>
              </w:rPr>
              <w:t>- Dobór symbolu klasyfikacyjnego, hasła klasyfikacyjnego i kategorii archiwalnej.</w:t>
            </w:r>
          </w:p>
          <w:p w:rsidR="00207AD5" w:rsidRPr="00207AD5" w:rsidRDefault="00207AD5" w:rsidP="0055794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8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Obudowa dydaktyczna: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29" w:type="dxa"/>
          </w:tcPr>
          <w:p w:rsidR="00207AD5" w:rsidRPr="00207AD5" w:rsidRDefault="00207AD5" w:rsidP="0055794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9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Korespondencja elektroniczna i tradycyjna</w:t>
            </w:r>
          </w:p>
        </w:tc>
        <w:tc>
          <w:tcPr>
            <w:tcW w:w="11369" w:type="dxa"/>
          </w:tcPr>
          <w:p w:rsidR="00207AD5" w:rsidRPr="00207AD5" w:rsidRDefault="00207AD5" w:rsidP="0055794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Sekwencje filmowe –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przedstawiające</w:t>
            </w: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obsługę programu do korespondencji elektronicznej.</w:t>
            </w:r>
          </w:p>
          <w:p w:rsidR="00207AD5" w:rsidRPr="00207AD5" w:rsidRDefault="00207AD5" w:rsidP="0055794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Gra „wcielanie się w rolę” –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gracz wykonuje zadania dotyczące obsługi korespondencji tradycyjnej i elektronicznej.</w:t>
            </w:r>
          </w:p>
          <w:p w:rsidR="00207AD5" w:rsidRPr="00207AD5" w:rsidRDefault="00207AD5" w:rsidP="0055794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8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hAnsi="Arial" w:cs="Arial"/>
                <w:b/>
                <w:sz w:val="20"/>
                <w:szCs w:val="20"/>
              </w:rPr>
              <w:t>Dokumentacja interaktywna –</w:t>
            </w:r>
            <w:r w:rsidRPr="00207AD5">
              <w:rPr>
                <w:sz w:val="20"/>
                <w:szCs w:val="20"/>
              </w:rPr>
              <w:t xml:space="preserve">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przedstawiająca wzór księgi korespondencyjnej do uzupełniania.</w:t>
            </w:r>
          </w:p>
          <w:p w:rsidR="00207AD5" w:rsidRPr="00207AD5" w:rsidRDefault="00207AD5" w:rsidP="0055794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8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Obudowa dydaktyczna: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207AD5" w:rsidRPr="00207AD5" w:rsidRDefault="00207AD5" w:rsidP="00207AD5">
      <w:pPr>
        <w:spacing w:after="160" w:line="259" w:lineRule="auto"/>
        <w:jc w:val="left"/>
      </w:pPr>
    </w:p>
    <w:p w:rsidR="00207AD5" w:rsidRPr="00207AD5" w:rsidRDefault="00207AD5" w:rsidP="00207AD5">
      <w:pPr>
        <w:spacing w:after="160" w:line="259" w:lineRule="auto"/>
        <w:jc w:val="left"/>
      </w:pPr>
    </w:p>
    <w:p w:rsidR="00207AD5" w:rsidRPr="00207AD5" w:rsidRDefault="00207AD5" w:rsidP="00207A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7AD5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E-ZASOBY DO KWALIFIKACJI: </w:t>
      </w:r>
      <w:r w:rsidRPr="00207A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07AD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EKA.07 Prowadzenie rachunkowości</w:t>
      </w:r>
    </w:p>
    <w:p w:rsidR="00207AD5" w:rsidRPr="00207AD5" w:rsidRDefault="00207AD5" w:rsidP="00207A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7AD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ZAWÓD/ZAWODY: Technik rachunkowości 431103</w:t>
      </w:r>
    </w:p>
    <w:tbl>
      <w:tblPr>
        <w:tblW w:w="0" w:type="auto"/>
        <w:tblInd w:w="-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225"/>
        <w:gridCol w:w="11588"/>
      </w:tblGrid>
      <w:tr w:rsidR="00207AD5" w:rsidRPr="00207AD5" w:rsidTr="00557947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Prowadzenie księgowości</w:t>
            </w:r>
          </w:p>
          <w:p w:rsidR="00207AD5" w:rsidRPr="00207AD5" w:rsidRDefault="00207AD5" w:rsidP="00557947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numPr>
                <w:ilvl w:val="0"/>
                <w:numId w:val="32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Infografika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przedstawiający elementy rachunkowości, jej funkcje oraz źródła prawa bilansowego.</w:t>
            </w:r>
          </w:p>
          <w:p w:rsidR="00207AD5" w:rsidRPr="00207AD5" w:rsidRDefault="00207AD5" w:rsidP="00557947">
            <w:pPr>
              <w:numPr>
                <w:ilvl w:val="0"/>
                <w:numId w:val="32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Grafika interaktywna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prezentująca zasady rachunkowości.</w:t>
            </w:r>
          </w:p>
          <w:p w:rsidR="00207AD5" w:rsidRPr="00207AD5" w:rsidRDefault="00207AD5" w:rsidP="00557947">
            <w:pPr>
              <w:numPr>
                <w:ilvl w:val="0"/>
                <w:numId w:val="32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Schemat interaktywny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obrazujący okresy przechowywania dokumentacji księgowej wg prawa bilansowego, podatkowego i ubezpieczeń społecznych.</w:t>
            </w:r>
          </w:p>
          <w:p w:rsidR="00207AD5" w:rsidRPr="00207AD5" w:rsidRDefault="00207AD5" w:rsidP="00557947">
            <w:pPr>
              <w:numPr>
                <w:ilvl w:val="0"/>
                <w:numId w:val="32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Obudowa dydaktyczna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Dowody księgowe</w:t>
            </w:r>
          </w:p>
          <w:p w:rsidR="00207AD5" w:rsidRPr="00207AD5" w:rsidRDefault="00207AD5" w:rsidP="00557947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numPr>
                <w:ilvl w:val="0"/>
                <w:numId w:val="33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Infografika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prezentuje klasyfikację dowodów księgowych wg określonych kryteriów.</w:t>
            </w:r>
          </w:p>
          <w:p w:rsidR="00207AD5" w:rsidRPr="00207AD5" w:rsidRDefault="00207AD5" w:rsidP="00557947">
            <w:pPr>
              <w:numPr>
                <w:ilvl w:val="0"/>
                <w:numId w:val="33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Film edukacyjny -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ukazuje wg jakich kryteriów należy rozpoznawać dowody księgowe oraz wskazuje jego elementy, wymagania formalne.</w:t>
            </w:r>
          </w:p>
          <w:p w:rsidR="00207AD5" w:rsidRPr="00207AD5" w:rsidRDefault="00207AD5" w:rsidP="00557947">
            <w:pPr>
              <w:numPr>
                <w:ilvl w:val="0"/>
                <w:numId w:val="33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Plansza interaktywna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określająca rodzaje kontroli dowodów księgowych, komórki odpowiedzialne za jej przeprowadzenie.</w:t>
            </w:r>
          </w:p>
          <w:p w:rsidR="00207AD5" w:rsidRPr="00207AD5" w:rsidRDefault="00207AD5" w:rsidP="00557947">
            <w:pPr>
              <w:numPr>
                <w:ilvl w:val="0"/>
                <w:numId w:val="33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Obudowa dydaktyczna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Wynik finansowy</w:t>
            </w:r>
          </w:p>
          <w:p w:rsidR="00207AD5" w:rsidRPr="00207AD5" w:rsidRDefault="00207AD5" w:rsidP="00557947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numPr>
                <w:ilvl w:val="0"/>
                <w:numId w:val="35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Grafika interaktywna -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Sprawozdanie finansowe – wszystkie elementy sprawozdania finansowego, z charakterystyką poszczególnych elementów rozwijaną po wybraniu danego elementu.</w:t>
            </w:r>
          </w:p>
          <w:p w:rsidR="00207AD5" w:rsidRPr="00207AD5" w:rsidRDefault="00207AD5" w:rsidP="00557947">
            <w:pPr>
              <w:numPr>
                <w:ilvl w:val="0"/>
                <w:numId w:val="35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Infografika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zestawienie rachunku zysków i strat wariantu kalkulacyjnego i wariantu porównawczego</w:t>
            </w: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207AD5" w:rsidRPr="00207AD5" w:rsidRDefault="00207AD5" w:rsidP="00557947">
            <w:pPr>
              <w:numPr>
                <w:ilvl w:val="0"/>
                <w:numId w:val="35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Program ćwiczeniowy do projektowania przez dobierania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dobieranie poszczególnych elementów</w:t>
            </w: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rachunku zysków i strat w wariancie kalkulacyjnym i wariancie porównawczym.</w:t>
            </w:r>
          </w:p>
          <w:p w:rsidR="00207AD5" w:rsidRPr="00207AD5" w:rsidRDefault="00207AD5" w:rsidP="00557947">
            <w:pPr>
              <w:numPr>
                <w:ilvl w:val="0"/>
                <w:numId w:val="35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Film edukacyjny -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Ustalenie wyniku finansowego metodą statystyczną i księgową w różnych wariantach rachunku kosztów.</w:t>
            </w:r>
          </w:p>
          <w:p w:rsidR="00207AD5" w:rsidRPr="00207AD5" w:rsidRDefault="00207AD5" w:rsidP="00557947">
            <w:pPr>
              <w:numPr>
                <w:ilvl w:val="0"/>
                <w:numId w:val="35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Dokumentacja interaktywna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formularz sprawozdania – rachunek zysków i strat w wariancie kalkulacyjnym i wariancie porównawczym dla mikro i małych jednostek. </w:t>
            </w:r>
          </w:p>
          <w:p w:rsidR="00207AD5" w:rsidRPr="00207AD5" w:rsidRDefault="00207AD5" w:rsidP="00557947">
            <w:pPr>
              <w:numPr>
                <w:ilvl w:val="0"/>
                <w:numId w:val="35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Obudowa dydaktyczna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Inwentaryzacja</w:t>
            </w:r>
          </w:p>
          <w:p w:rsidR="00207AD5" w:rsidRPr="00207AD5" w:rsidRDefault="00207AD5" w:rsidP="00557947">
            <w:pPr>
              <w:spacing w:after="24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7AD5" w:rsidRPr="00207AD5" w:rsidRDefault="00207AD5" w:rsidP="00557947">
            <w:pPr>
              <w:numPr>
                <w:ilvl w:val="0"/>
                <w:numId w:val="37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Infografika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 przedstawiająca metody, terminy i częstotliwość inwentaryzacji.</w:t>
            </w:r>
          </w:p>
          <w:p w:rsidR="00207AD5" w:rsidRPr="00207AD5" w:rsidRDefault="00207AD5" w:rsidP="00557947">
            <w:pPr>
              <w:numPr>
                <w:ilvl w:val="0"/>
                <w:numId w:val="37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Film edukacyjny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Obliczenie, interpretacja i rozliczenie różnic inwentaryzacyjnych.</w:t>
            </w:r>
          </w:p>
          <w:p w:rsidR="00207AD5" w:rsidRPr="00207AD5" w:rsidRDefault="00207AD5" w:rsidP="00557947">
            <w:pPr>
              <w:numPr>
                <w:ilvl w:val="0"/>
                <w:numId w:val="37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Dokumentacja interaktywna – 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arkusz spisu z natury, protokół zestawienia różnic inwentaryzacyjnych, potwierdzenie salda należności, protokół weryfikacji dokumentarnej.</w:t>
            </w:r>
          </w:p>
          <w:p w:rsidR="00207AD5" w:rsidRPr="00207AD5" w:rsidRDefault="00207AD5" w:rsidP="00557947">
            <w:pPr>
              <w:numPr>
                <w:ilvl w:val="0"/>
                <w:numId w:val="37"/>
              </w:numPr>
              <w:spacing w:line="240" w:lineRule="auto"/>
              <w:ind w:left="360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07A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Obudowa dydaktyczna</w:t>
            </w:r>
            <w:r w:rsidRPr="00207A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207AD5" w:rsidRPr="00207AD5" w:rsidRDefault="00207AD5" w:rsidP="00207AD5">
      <w:pPr>
        <w:spacing w:after="160" w:line="259" w:lineRule="auto"/>
        <w:jc w:val="left"/>
        <w:rPr>
          <w:rFonts w:ascii="Arial" w:eastAsia="Arial" w:hAnsi="Arial" w:cs="Arial"/>
          <w:b/>
          <w:sz w:val="20"/>
          <w:szCs w:val="20"/>
        </w:rPr>
      </w:pPr>
      <w:r w:rsidRPr="00207AD5">
        <w:br w:type="page"/>
      </w:r>
      <w:r w:rsidRPr="00207AD5">
        <w:rPr>
          <w:rFonts w:ascii="Arial" w:eastAsia="Arial" w:hAnsi="Arial" w:cs="Arial"/>
          <w:b/>
          <w:sz w:val="20"/>
          <w:szCs w:val="20"/>
        </w:rPr>
        <w:lastRenderedPageBreak/>
        <w:t xml:space="preserve">E-ZASOBY DO KWALIFIKACJI: EKA.08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Świadczenie usług pocztowych i finansowych oraz wykonywanie zadań rozdzielczo-ekspedycyjnych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207AD5"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Pr="00207AD5">
        <w:rPr>
          <w:rFonts w:ascii="Arial" w:eastAsia="Arial" w:hAnsi="Arial" w:cs="Arial"/>
          <w:b/>
          <w:i/>
          <w:iCs/>
          <w:sz w:val="20"/>
          <w:szCs w:val="20"/>
        </w:rPr>
        <w:t>Technik usług pocztowych i finansowych 421108</w:t>
      </w:r>
    </w:p>
    <w:p w:rsidR="00207AD5" w:rsidRPr="00207AD5" w:rsidRDefault="00207AD5" w:rsidP="00207AD5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8"/>
        <w:gridCol w:w="2245"/>
        <w:gridCol w:w="11367"/>
      </w:tblGrid>
      <w:tr w:rsidR="00207AD5" w:rsidRPr="00207AD5" w:rsidTr="00557947">
        <w:trPr>
          <w:trHeight w:val="269"/>
        </w:trPr>
        <w:tc>
          <w:tcPr>
            <w:tcW w:w="558" w:type="dxa"/>
            <w:vAlign w:val="center"/>
          </w:tcPr>
          <w:p w:rsidR="00207AD5" w:rsidRPr="00207AD5" w:rsidRDefault="00207AD5" w:rsidP="00557947">
            <w:pPr>
              <w:spacing w:line="240" w:lineRule="auto"/>
              <w:ind w:right="-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5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TYTUŁ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E-ZASOBU</w:t>
            </w:r>
          </w:p>
        </w:tc>
        <w:tc>
          <w:tcPr>
            <w:tcW w:w="11367" w:type="dxa"/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WCHODZĄCYCH W SKŁAD E-ZASOBU</w:t>
            </w:r>
          </w:p>
        </w:tc>
      </w:tr>
      <w:tr w:rsidR="00207AD5" w:rsidRPr="00207AD5" w:rsidTr="00557947">
        <w:trPr>
          <w:trHeight w:val="269"/>
        </w:trPr>
        <w:tc>
          <w:tcPr>
            <w:tcW w:w="558" w:type="dxa"/>
          </w:tcPr>
          <w:p w:rsidR="00207AD5" w:rsidRPr="00207AD5" w:rsidRDefault="00207AD5" w:rsidP="0055794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Procesy przyjmowania do realizacji wpłat na rachunki bankowe 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367" w:type="dxa"/>
          </w:tcPr>
          <w:p w:rsidR="00207AD5" w:rsidRPr="00207AD5" w:rsidRDefault="00207AD5" w:rsidP="0055794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Sekwencje filmowe: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obejmujące procesy przyjmowania do realizacji poszczególnych rodzajów wpłat na rachunki bankowe w formie gotówkowej, w tym wpłat na rzecz organów administracji skarbowej </w:t>
            </w:r>
          </w:p>
          <w:p w:rsidR="00207AD5" w:rsidRPr="00207AD5" w:rsidRDefault="00207AD5" w:rsidP="0055794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Infografika: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obejmująca proces przyjmowania reklamacji na różnego rodzaju wpłaty na rachunki bankowe</w:t>
            </w:r>
          </w:p>
          <w:p w:rsidR="00207AD5" w:rsidRPr="00207AD5" w:rsidRDefault="00207AD5" w:rsidP="0055794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Film instruktażowy-Tutorial: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obejmujący proces przyjmowania od klienta należności w formie bezgotówkowej z wykorzystaniem terminala płatniczego</w:t>
            </w:r>
          </w:p>
          <w:p w:rsidR="00207AD5" w:rsidRPr="00207AD5" w:rsidRDefault="00207AD5" w:rsidP="0055794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58" w:type="dxa"/>
          </w:tcPr>
          <w:p w:rsidR="00207AD5" w:rsidRPr="00207AD5" w:rsidRDefault="00207AD5" w:rsidP="0055794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Procesy przyjmowania do realizacji przekazów pocztowych i pieniężnych</w:t>
            </w:r>
          </w:p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367" w:type="dxa"/>
          </w:tcPr>
          <w:p w:rsidR="00207AD5" w:rsidRPr="00207AD5" w:rsidRDefault="00207AD5" w:rsidP="00557947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Sekwencje filmowe: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obejmujące przyjmowanie do realizacji poszczególnych rodzajów przekazów pieniężnych i przekazów pocztowych w obrocie krajowym i zagranicznym nadawanych w placówce pocztowej oraz przekazów pieniężnych i przekazów pocztowych w obrocie krajowym nadawanych za pośrednictwem elektronicznych kanałów komunikacji</w:t>
            </w:r>
          </w:p>
          <w:p w:rsidR="00207AD5" w:rsidRPr="00207AD5" w:rsidRDefault="00207AD5" w:rsidP="00557947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Infografika: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obejmująca proces przyjmowania reklamacji na różnego rodzaju przekazy pocztowe i pieniężne</w:t>
            </w:r>
          </w:p>
          <w:p w:rsidR="00207AD5" w:rsidRPr="00207AD5" w:rsidRDefault="00207AD5" w:rsidP="00557947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58" w:type="dxa"/>
          </w:tcPr>
          <w:p w:rsidR="00207AD5" w:rsidRPr="00207AD5" w:rsidRDefault="00207AD5" w:rsidP="0055794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30j0zll" w:colFirst="0" w:colLast="0"/>
            <w:bookmarkEnd w:id="2"/>
          </w:p>
        </w:tc>
        <w:tc>
          <w:tcPr>
            <w:tcW w:w="2245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Proces przyjmowania przesyłek poleconych krajowych i zagranicznych</w:t>
            </w:r>
          </w:p>
        </w:tc>
        <w:tc>
          <w:tcPr>
            <w:tcW w:w="11367" w:type="dxa"/>
          </w:tcPr>
          <w:p w:rsidR="00207AD5" w:rsidRPr="00207AD5" w:rsidRDefault="00207AD5" w:rsidP="0055794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 (Tutorial) 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– obejmujący proces przyjęcia przesyłek poleconych krajowych i zagranicznych w placówce pocztowej</w:t>
            </w:r>
          </w:p>
          <w:p w:rsidR="00207AD5" w:rsidRPr="00207AD5" w:rsidRDefault="00207AD5" w:rsidP="0055794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– prezentująca prawidłowość wypełniania dokumentów nadawczych</w:t>
            </w:r>
          </w:p>
          <w:p w:rsidR="00207AD5" w:rsidRPr="00207AD5" w:rsidRDefault="00207AD5" w:rsidP="0055794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7" w:hanging="357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58" w:type="dxa"/>
          </w:tcPr>
          <w:p w:rsidR="00207AD5" w:rsidRPr="00207AD5" w:rsidRDefault="00207AD5" w:rsidP="0055794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5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Przyjęcie paczki pocztowej powszechnej krajowej i zagranicznej</w:t>
            </w:r>
          </w:p>
        </w:tc>
        <w:tc>
          <w:tcPr>
            <w:tcW w:w="11367" w:type="dxa"/>
          </w:tcPr>
          <w:p w:rsidR="00207AD5" w:rsidRPr="00207AD5" w:rsidRDefault="00207AD5" w:rsidP="0055794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Film instruktażowy(Tutorial) 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– obejmujący proces przyjęcia paczki pocztowej krajowej w placówce pocztowej (sposób pomiaru, ustalenie wagi, dobór opcji dodatkowych, wycena usługi, rejestracja w systemie informatycznym).</w:t>
            </w:r>
          </w:p>
          <w:p w:rsidR="00207AD5" w:rsidRPr="00207AD5" w:rsidRDefault="00207AD5" w:rsidP="0055794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Infografika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– obejmująca proces przyjęcia paczki pocztowej zagranicznej w placówce pocztowej</w:t>
            </w:r>
          </w:p>
          <w:p w:rsidR="00207AD5" w:rsidRPr="00207AD5" w:rsidRDefault="00207AD5" w:rsidP="0055794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 xml:space="preserve">Dokumentacja interaktywna 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– prezentująca prawidłowość wypełniania dokumentów nadawczych i celnych (dla paczek zagranicznych)</w:t>
            </w:r>
          </w:p>
          <w:p w:rsidR="00207AD5" w:rsidRPr="00207AD5" w:rsidRDefault="00207AD5" w:rsidP="0055794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58" w:type="dxa"/>
          </w:tcPr>
          <w:p w:rsidR="00207AD5" w:rsidRPr="00207AD5" w:rsidRDefault="00207AD5" w:rsidP="0055794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5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Proces sortowania przesyłek i przygotowanie ich do odprawy</w:t>
            </w:r>
          </w:p>
        </w:tc>
        <w:tc>
          <w:tcPr>
            <w:tcW w:w="11367" w:type="dxa"/>
          </w:tcPr>
          <w:p w:rsidR="00207AD5" w:rsidRPr="00207AD5" w:rsidRDefault="00207AD5" w:rsidP="0055794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E-book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– zawierający instrukcje operatora pocztowego w zakresie opracowania i ekspedycji poczty</w:t>
            </w:r>
          </w:p>
          <w:p w:rsidR="00207AD5" w:rsidRPr="00207AD5" w:rsidRDefault="00207AD5" w:rsidP="0055794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Animacja 2D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– przedstawiająca organizację i przebieg procesu technologicznego sortowania przesyłek (listy, paczki) w systemie ręcznym</w:t>
            </w:r>
          </w:p>
          <w:p w:rsidR="00207AD5" w:rsidRPr="00207AD5" w:rsidRDefault="00207AD5" w:rsidP="0055794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Infografika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– ukazująca sposób i zasady kierowania przesyłek w oparciu o kody pocztowe</w:t>
            </w:r>
          </w:p>
          <w:p w:rsidR="00207AD5" w:rsidRPr="00207AD5" w:rsidRDefault="00207AD5" w:rsidP="0055794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Dokumentacja interaktywna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– ukazująca prawidłowość wypełniania dokumentów zdawczych, ekspedycyjnych i rozliczeniowych</w:t>
            </w:r>
          </w:p>
          <w:p w:rsidR="00207AD5" w:rsidRPr="00207AD5" w:rsidRDefault="00207AD5" w:rsidP="0055794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Galeria zdjęć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, ukazująca różnego rodzaju opakowania zbiorcze, w tym kontenery przejezdne do przewozu ładunków pocztowych oraz wyposażenie sortowni np. w sortownice, stoły pyłochłonne, itp.</w:t>
            </w:r>
          </w:p>
          <w:p w:rsidR="00207AD5" w:rsidRPr="00207AD5" w:rsidRDefault="00207AD5" w:rsidP="0055794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207AD5" w:rsidRPr="00207AD5" w:rsidTr="00557947">
        <w:trPr>
          <w:trHeight w:val="269"/>
        </w:trPr>
        <w:tc>
          <w:tcPr>
            <w:tcW w:w="558" w:type="dxa"/>
          </w:tcPr>
          <w:p w:rsidR="00207AD5" w:rsidRPr="00207AD5" w:rsidRDefault="00207AD5" w:rsidP="0055794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5" w:type="dxa"/>
          </w:tcPr>
          <w:p w:rsidR="00207AD5" w:rsidRPr="00207AD5" w:rsidRDefault="00207AD5" w:rsidP="00557947">
            <w:pPr>
              <w:spacing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Pocztowe maszyny rozdzielcze</w:t>
            </w:r>
          </w:p>
        </w:tc>
        <w:tc>
          <w:tcPr>
            <w:tcW w:w="11367" w:type="dxa"/>
          </w:tcPr>
          <w:p w:rsidR="00207AD5" w:rsidRPr="00207AD5" w:rsidRDefault="00207AD5" w:rsidP="0055794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Wycieczka wirtualna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, ukazująca organizację pracy węzła ekspedycyjno-rozdzielczego</w:t>
            </w:r>
          </w:p>
          <w:p w:rsidR="00207AD5" w:rsidRPr="00207AD5" w:rsidRDefault="00207AD5" w:rsidP="0055794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Film instruktażowy(Tutorial):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prezentujący maszynowy system rozdziału przesyłek; zasady, specyfika, w tym czynności realizowane przez pracownika.</w:t>
            </w:r>
          </w:p>
          <w:p w:rsidR="00207AD5" w:rsidRPr="00207AD5" w:rsidRDefault="00207AD5" w:rsidP="0055794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Sekwencje filmowe: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 xml:space="preserve"> obejmujące poszczególne etapy rozdziału maszynowego przesyłek w wydziale ekspedycyjno-rozdzielczym</w:t>
            </w:r>
          </w:p>
          <w:p w:rsidR="00207AD5" w:rsidRPr="00207AD5" w:rsidRDefault="00207AD5" w:rsidP="0055794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07AD5">
              <w:rPr>
                <w:rFonts w:ascii="Arial" w:eastAsia="Arial" w:hAnsi="Arial" w:cs="Arial"/>
                <w:b/>
                <w:sz w:val="20"/>
                <w:szCs w:val="20"/>
              </w:rPr>
              <w:t>Obudowa dydaktyczna</w:t>
            </w:r>
            <w:r w:rsidRPr="00207AD5">
              <w:rPr>
                <w:rFonts w:ascii="Arial" w:eastAsia="Arial" w:hAnsi="Arial" w:cs="Arial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207AD5" w:rsidRPr="00207AD5" w:rsidRDefault="00207AD5" w:rsidP="00207AD5"/>
    <w:p w:rsidR="00207AD5" w:rsidRPr="00207AD5" w:rsidRDefault="00207AD5" w:rsidP="00207AD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207AD5" w:rsidRPr="00207AD5" w:rsidRDefault="00207AD5" w:rsidP="00207AD5">
      <w:pPr>
        <w:jc w:val="both"/>
        <w:rPr>
          <w:rFonts w:ascii="Arial" w:hAnsi="Arial" w:cs="Arial"/>
          <w:b/>
          <w:sz w:val="20"/>
          <w:szCs w:val="20"/>
        </w:rPr>
      </w:pPr>
    </w:p>
    <w:p w:rsidR="001D3674" w:rsidRPr="00207AD5" w:rsidRDefault="001D3674" w:rsidP="00207AD5">
      <w:pPr>
        <w:spacing w:line="240" w:lineRule="auto"/>
        <w:rPr>
          <w:rFonts w:ascii="Arial" w:hAnsi="Arial" w:cs="Arial"/>
          <w:b/>
          <w:sz w:val="20"/>
          <w:szCs w:val="20"/>
        </w:rPr>
      </w:pPr>
    </w:p>
    <w:sectPr w:rsidR="001D3674" w:rsidRPr="00207AD5" w:rsidSect="00F16075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130" w:rsidRDefault="006A0130" w:rsidP="00025702">
      <w:pPr>
        <w:spacing w:line="240" w:lineRule="auto"/>
      </w:pPr>
      <w:r>
        <w:separator/>
      </w:r>
    </w:p>
  </w:endnote>
  <w:endnote w:type="continuationSeparator" w:id="0">
    <w:p w:rsidR="006A0130" w:rsidRDefault="006A0130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075" w:rsidRDefault="00F16075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-259080</wp:posOffset>
          </wp:positionH>
          <wp:positionV relativeFrom="paragraph">
            <wp:posOffset>-200025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130" w:rsidRDefault="006A0130" w:rsidP="00025702">
      <w:pPr>
        <w:spacing w:line="240" w:lineRule="auto"/>
      </w:pPr>
      <w:r>
        <w:separator/>
      </w:r>
    </w:p>
  </w:footnote>
  <w:footnote w:type="continuationSeparator" w:id="0">
    <w:p w:rsidR="006A0130" w:rsidRDefault="006A0130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702" w:rsidRDefault="00F16075" w:rsidP="00F16075">
    <w:pPr>
      <w:pStyle w:val="Nagwek"/>
      <w:tabs>
        <w:tab w:val="center" w:pos="7002"/>
        <w:tab w:val="left" w:pos="8016"/>
      </w:tabs>
      <w:jc w:val="left"/>
    </w:pPr>
    <w:r>
      <w:tab/>
    </w:r>
    <w:r>
      <w:tab/>
    </w:r>
    <w:sdt>
      <w:sdtPr>
        <w:id w:val="889766022"/>
        <w:docPartObj>
          <w:docPartGallery w:val="Page Numbers (Margins)"/>
          <w:docPartUnique/>
        </w:docPartObj>
      </w:sdtPr>
      <w:sdtEndPr/>
      <w:sdtContent>
        <w:r w:rsidR="006A0130">
          <w:rPr>
            <w:noProof/>
            <w:lang w:eastAsia="pl-PL"/>
          </w:rPr>
          <w:pict>
            <v:rect id="Prostokąt 1" o:spid="_x0000_s2049" style="position:absolute;margin-left:0;margin-top:0;width:40.2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<v:textbox style="layout-flow:vertical;mso-layout-flow-alt:bottom-to-top;mso-fit-shape-to-text:t">
                <w:txbxContent>
                  <w:p w:rsidR="00025702" w:rsidRDefault="00025702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3D3B41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3D3B41">
                      <w:rPr>
                        <w:rFonts w:eastAsiaTheme="minorEastAsia" w:cs="Times New Roman"/>
                      </w:rPr>
                      <w:fldChar w:fldCharType="separate"/>
                    </w:r>
                    <w:r w:rsidR="001765A6" w:rsidRPr="001765A6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9</w:t>
                    </w:r>
                    <w:r w:rsidR="003D3B41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075" w:rsidRDefault="00F16075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290195</wp:posOffset>
          </wp:positionH>
          <wp:positionV relativeFrom="paragraph">
            <wp:posOffset>-244475</wp:posOffset>
          </wp:positionV>
          <wp:extent cx="10387692" cy="1208314"/>
          <wp:effectExtent l="0" t="0" r="0" b="0"/>
          <wp:wrapTight wrapText="bothSides">
            <wp:wrapPolygon edited="0">
              <wp:start x="0" y="0"/>
              <wp:lineTo x="0" y="21123"/>
              <wp:lineTo x="21550" y="21123"/>
              <wp:lineTo x="21550" y="0"/>
              <wp:lineTo x="0" y="0"/>
            </wp:wrapPolygon>
          </wp:wrapTight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7692" cy="1208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7442"/>
    <w:multiLevelType w:val="multilevel"/>
    <w:tmpl w:val="A5205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D3C1F"/>
    <w:multiLevelType w:val="multilevel"/>
    <w:tmpl w:val="6E2883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26342"/>
    <w:multiLevelType w:val="multilevel"/>
    <w:tmpl w:val="6F2AFB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7B024B"/>
    <w:multiLevelType w:val="multilevel"/>
    <w:tmpl w:val="293AD90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70C4B"/>
    <w:multiLevelType w:val="multilevel"/>
    <w:tmpl w:val="8AD6DC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96F02"/>
    <w:multiLevelType w:val="multilevel"/>
    <w:tmpl w:val="EA58F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2505"/>
    <w:multiLevelType w:val="multilevel"/>
    <w:tmpl w:val="BA8868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330B"/>
    <w:multiLevelType w:val="multilevel"/>
    <w:tmpl w:val="B01E0CE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AB3B98"/>
    <w:multiLevelType w:val="multilevel"/>
    <w:tmpl w:val="0CBE13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1104A7"/>
    <w:multiLevelType w:val="multilevel"/>
    <w:tmpl w:val="62FCB2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E95574"/>
    <w:multiLevelType w:val="multilevel"/>
    <w:tmpl w:val="2D34AF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E606CB"/>
    <w:multiLevelType w:val="multilevel"/>
    <w:tmpl w:val="A85093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436972"/>
    <w:multiLevelType w:val="multilevel"/>
    <w:tmpl w:val="3386F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69646F"/>
    <w:multiLevelType w:val="multilevel"/>
    <w:tmpl w:val="777AE9E4"/>
    <w:lvl w:ilvl="0">
      <w:start w:val="1"/>
      <w:numFmt w:val="decimal"/>
      <w:lvlText w:val="%1."/>
      <w:lvlJc w:val="left"/>
      <w:pPr>
        <w:ind w:left="-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3279061E"/>
    <w:multiLevelType w:val="multilevel"/>
    <w:tmpl w:val="D7D48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F77205"/>
    <w:multiLevelType w:val="multilevel"/>
    <w:tmpl w:val="DD0E17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836E49"/>
    <w:multiLevelType w:val="multilevel"/>
    <w:tmpl w:val="5C3036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3B6A7A"/>
    <w:multiLevelType w:val="multilevel"/>
    <w:tmpl w:val="2132FFD0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8CA5DF6"/>
    <w:multiLevelType w:val="multilevel"/>
    <w:tmpl w:val="D8FA6A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F73BB"/>
    <w:multiLevelType w:val="multilevel"/>
    <w:tmpl w:val="5838BD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6C1BC3"/>
    <w:multiLevelType w:val="multilevel"/>
    <w:tmpl w:val="56AEDB4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5D497A"/>
    <w:multiLevelType w:val="multilevel"/>
    <w:tmpl w:val="268294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A736E"/>
    <w:multiLevelType w:val="multilevel"/>
    <w:tmpl w:val="0C6E19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3D064C"/>
    <w:multiLevelType w:val="multilevel"/>
    <w:tmpl w:val="8DAEC21C"/>
    <w:lvl w:ilvl="0">
      <w:start w:val="1"/>
      <w:numFmt w:val="decimal"/>
      <w:lvlText w:val="%1."/>
      <w:lvlJc w:val="left"/>
      <w:pPr>
        <w:ind w:left="360" w:hanging="360"/>
      </w:pPr>
      <w:rPr>
        <w:b w:val="0"/>
        <w:smallCaps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0D22BA"/>
    <w:multiLevelType w:val="multilevel"/>
    <w:tmpl w:val="BE5A38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6474F9"/>
    <w:multiLevelType w:val="multilevel"/>
    <w:tmpl w:val="694E66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6F1C0E"/>
    <w:multiLevelType w:val="multilevel"/>
    <w:tmpl w:val="D31689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EB28D0"/>
    <w:multiLevelType w:val="multilevel"/>
    <w:tmpl w:val="C3B0B70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E66225"/>
    <w:multiLevelType w:val="multilevel"/>
    <w:tmpl w:val="DB56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1E6FD8"/>
    <w:multiLevelType w:val="multilevel"/>
    <w:tmpl w:val="0664843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ind w:left="198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23B69"/>
    <w:multiLevelType w:val="multilevel"/>
    <w:tmpl w:val="DD3E3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1D156C"/>
    <w:multiLevelType w:val="multilevel"/>
    <w:tmpl w:val="2BB2B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6A7F25"/>
    <w:multiLevelType w:val="multilevel"/>
    <w:tmpl w:val="F6E8B9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6F3AFD"/>
    <w:multiLevelType w:val="multilevel"/>
    <w:tmpl w:val="53D6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5E3391"/>
    <w:multiLevelType w:val="multilevel"/>
    <w:tmpl w:val="07A0EB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35727E"/>
    <w:multiLevelType w:val="multilevel"/>
    <w:tmpl w:val="398C252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050D7B"/>
    <w:multiLevelType w:val="multilevel"/>
    <w:tmpl w:val="D0A616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26"/>
  </w:num>
  <w:num w:numId="5">
    <w:abstractNumId w:val="9"/>
  </w:num>
  <w:num w:numId="6">
    <w:abstractNumId w:val="18"/>
  </w:num>
  <w:num w:numId="7">
    <w:abstractNumId w:val="0"/>
  </w:num>
  <w:num w:numId="8">
    <w:abstractNumId w:val="2"/>
  </w:num>
  <w:num w:numId="9">
    <w:abstractNumId w:val="22"/>
  </w:num>
  <w:num w:numId="10">
    <w:abstractNumId w:val="3"/>
  </w:num>
  <w:num w:numId="11">
    <w:abstractNumId w:val="15"/>
  </w:num>
  <w:num w:numId="12">
    <w:abstractNumId w:val="19"/>
  </w:num>
  <w:num w:numId="13">
    <w:abstractNumId w:val="36"/>
  </w:num>
  <w:num w:numId="14">
    <w:abstractNumId w:val="7"/>
  </w:num>
  <w:num w:numId="15">
    <w:abstractNumId w:val="35"/>
  </w:num>
  <w:num w:numId="16">
    <w:abstractNumId w:val="27"/>
  </w:num>
  <w:num w:numId="17">
    <w:abstractNumId w:val="5"/>
  </w:num>
  <w:num w:numId="18">
    <w:abstractNumId w:val="29"/>
  </w:num>
  <w:num w:numId="19">
    <w:abstractNumId w:val="11"/>
  </w:num>
  <w:num w:numId="20">
    <w:abstractNumId w:val="23"/>
  </w:num>
  <w:num w:numId="21">
    <w:abstractNumId w:val="25"/>
  </w:num>
  <w:num w:numId="22">
    <w:abstractNumId w:val="24"/>
  </w:num>
  <w:num w:numId="23">
    <w:abstractNumId w:val="32"/>
  </w:num>
  <w:num w:numId="24">
    <w:abstractNumId w:val="1"/>
  </w:num>
  <w:num w:numId="25">
    <w:abstractNumId w:val="6"/>
  </w:num>
  <w:num w:numId="26">
    <w:abstractNumId w:val="16"/>
  </w:num>
  <w:num w:numId="27">
    <w:abstractNumId w:val="20"/>
  </w:num>
  <w:num w:numId="28">
    <w:abstractNumId w:val="34"/>
  </w:num>
  <w:num w:numId="29">
    <w:abstractNumId w:val="13"/>
  </w:num>
  <w:num w:numId="30">
    <w:abstractNumId w:val="14"/>
  </w:num>
  <w:num w:numId="31">
    <w:abstractNumId w:val="12"/>
  </w:num>
  <w:num w:numId="32">
    <w:abstractNumId w:val="30"/>
  </w:num>
  <w:num w:numId="33">
    <w:abstractNumId w:val="31"/>
  </w:num>
  <w:num w:numId="34">
    <w:abstractNumId w:val="8"/>
    <w:lvlOverride w:ilvl="0">
      <w:lvl w:ilvl="0">
        <w:numFmt w:val="decimal"/>
        <w:lvlText w:val="%1."/>
        <w:lvlJc w:val="left"/>
      </w:lvl>
    </w:lvlOverride>
  </w:num>
  <w:num w:numId="35">
    <w:abstractNumId w:val="28"/>
  </w:num>
  <w:num w:numId="36">
    <w:abstractNumId w:val="21"/>
    <w:lvlOverride w:ilvl="0">
      <w:lvl w:ilvl="0">
        <w:numFmt w:val="decimal"/>
        <w:lvlText w:val="%1."/>
        <w:lvlJc w:val="left"/>
      </w:lvl>
    </w:lvlOverride>
  </w:num>
  <w:num w:numId="37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674"/>
    <w:rsid w:val="00025702"/>
    <w:rsid w:val="0003207A"/>
    <w:rsid w:val="00051BD8"/>
    <w:rsid w:val="0008103D"/>
    <w:rsid w:val="000C6360"/>
    <w:rsid w:val="001257D9"/>
    <w:rsid w:val="00133E7B"/>
    <w:rsid w:val="00141C7B"/>
    <w:rsid w:val="001765A6"/>
    <w:rsid w:val="001D3674"/>
    <w:rsid w:val="001F71F1"/>
    <w:rsid w:val="00207AD5"/>
    <w:rsid w:val="002B5B8D"/>
    <w:rsid w:val="002D7FF9"/>
    <w:rsid w:val="00312CE6"/>
    <w:rsid w:val="003565FC"/>
    <w:rsid w:val="00362FCC"/>
    <w:rsid w:val="00366C73"/>
    <w:rsid w:val="00380930"/>
    <w:rsid w:val="00385A3F"/>
    <w:rsid w:val="003A797C"/>
    <w:rsid w:val="003D3B41"/>
    <w:rsid w:val="003F00C0"/>
    <w:rsid w:val="0040709A"/>
    <w:rsid w:val="00433677"/>
    <w:rsid w:val="00497F5C"/>
    <w:rsid w:val="004D7B21"/>
    <w:rsid w:val="00566026"/>
    <w:rsid w:val="0057489C"/>
    <w:rsid w:val="00633611"/>
    <w:rsid w:val="0063550B"/>
    <w:rsid w:val="006A0130"/>
    <w:rsid w:val="006A0F7E"/>
    <w:rsid w:val="006A239C"/>
    <w:rsid w:val="006A3AF5"/>
    <w:rsid w:val="006F61A5"/>
    <w:rsid w:val="007234AB"/>
    <w:rsid w:val="00787854"/>
    <w:rsid w:val="0079357F"/>
    <w:rsid w:val="00794932"/>
    <w:rsid w:val="007E0F94"/>
    <w:rsid w:val="00874FA7"/>
    <w:rsid w:val="00906E4F"/>
    <w:rsid w:val="00930937"/>
    <w:rsid w:val="0095102F"/>
    <w:rsid w:val="00951F3E"/>
    <w:rsid w:val="009A0AA4"/>
    <w:rsid w:val="00A35C68"/>
    <w:rsid w:val="00A7744E"/>
    <w:rsid w:val="00AC0E73"/>
    <w:rsid w:val="00AF1575"/>
    <w:rsid w:val="00B11179"/>
    <w:rsid w:val="00B12479"/>
    <w:rsid w:val="00B804F0"/>
    <w:rsid w:val="00B928E7"/>
    <w:rsid w:val="00BC3BB4"/>
    <w:rsid w:val="00C116C7"/>
    <w:rsid w:val="00C20D05"/>
    <w:rsid w:val="00C621CB"/>
    <w:rsid w:val="00C67F6A"/>
    <w:rsid w:val="00D21FD4"/>
    <w:rsid w:val="00DF5EA5"/>
    <w:rsid w:val="00E23F1F"/>
    <w:rsid w:val="00E3345C"/>
    <w:rsid w:val="00EA01ED"/>
    <w:rsid w:val="00EC53A4"/>
    <w:rsid w:val="00ED3194"/>
    <w:rsid w:val="00EE2932"/>
    <w:rsid w:val="00F16075"/>
    <w:rsid w:val="00F31F48"/>
    <w:rsid w:val="00F428F1"/>
    <w:rsid w:val="00F76DB1"/>
    <w:rsid w:val="00F8014A"/>
    <w:rsid w:val="00FC0B4E"/>
    <w:rsid w:val="00FC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868E41E-612C-4FFB-B3F3-E30FCDC6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semiHidden/>
    <w:unhideWhenUsed/>
    <w:rsid w:val="00051BD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l8wme">
    <w:name w:val="tl8wme"/>
    <w:basedOn w:val="Domylnaczcionkaakapitu"/>
    <w:rsid w:val="00207AD5"/>
  </w:style>
  <w:style w:type="paragraph" w:styleId="Tekstdymka">
    <w:name w:val="Balloon Text"/>
    <w:basedOn w:val="Normalny"/>
    <w:link w:val="TekstdymkaZnak"/>
    <w:uiPriority w:val="99"/>
    <w:semiHidden/>
    <w:unhideWhenUsed/>
    <w:rsid w:val="00362F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7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619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808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2862</Words>
  <Characters>17174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dcterms:created xsi:type="dcterms:W3CDTF">2020-07-27T10:11:00Z</dcterms:created>
  <dcterms:modified xsi:type="dcterms:W3CDTF">2020-07-30T10:31:00Z</dcterms:modified>
</cp:coreProperties>
</file>