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– standard choroby wieku dziecięcego oraz anatomia i fizjologia dziecka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choroby wieku dziecięcego obejmuje opis poszczególnych chorób zakaźnych wieku dziecięcego, ich przyczyny powstawania, objawy, powikłania i zapobieganie czyli profilaktyka, a także anatomię i fizjologię dziecka. E-zasób zawiera materiały multimedialne takie jak atlas interaktywny plansza interaktywna, sekwencje filmowe, materiały ćwiczeniowe. W sekwencjach filmowych wymienione są poszczególne choroby zakaźne występujące u dzieci (odra, płonica, różyczka, ospa, świnka, krztusiec, mononukleoza). Pokazana jest i omówiona każda z tych chorób zakaźnych, jej nazwa, przyczyny, objawy, powikłania, zapobieganie. Poszczególne elementy są omawiane i pokazane na planszach. Szczególny nacisk położyć na zmiany skórne oraz rodzaj kaszlu. Każdą sekwencję zakończyć zapobieganiem czyli profilaktyką z uwzględnieniem szczepień ochronnych i kalendarza szczepień.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325905 Opiekunka dziecięca branży pomoc społeczna i dla  wyodrębnionej w zawodzie kwalifikacji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celu kształcenia określonego dla kwalifikacji SPO.04.Świadczenie usług opiekuńczych </w:t>
              <w:br w:type="textWrapping"/>
              <w:t xml:space="preserve">i wspomagających rozwój dziecka: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pielęgnowanie dziecka zdrowego, chorego i z niepełnosprawnością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promowanie zdrowia i prowadzenie działań profilaktycznych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SPO.04.2. Podstawy opieki nad dzieckiem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SPO.04.2.2) przedstawia ogólną budowę i funkcje organizmu dziecka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SPO.04.4. Pielęgnowanie dziecka chorego i z niepełnosprawnością: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SPO.04.4.6) rozpoznaje przyczyny objawy kliniczne chorób wieku dziecięcego oraz sposoby zapobiegania tym chorobom 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</w:t>
              <w:br w:type="textWrapping"/>
              <w:t xml:space="preserve">w celu samokształcenia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 – anatomia i fizjologia dziecka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 – położenie poszczególnych układów i narządów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– choroby zakaźne wieku dziecięcego i ich objawy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– z zakresu chorób wieku dziecięcego oraz anatomii i fizjologii dziecka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3D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przewodnik dla nauczyciela</w:t>
            </w:r>
          </w:p>
          <w:p w:rsidR="00000000" w:rsidDel="00000000" w:rsidP="00000000" w:rsidRDefault="00000000" w:rsidRPr="00000000" w14:paraId="0000003E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przewodnik dla uczącego się</w:t>
            </w:r>
          </w:p>
          <w:p w:rsidR="00000000" w:rsidDel="00000000" w:rsidP="00000000" w:rsidRDefault="00000000" w:rsidRPr="00000000" w14:paraId="0000003F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netografia i bibliografia</w:t>
            </w:r>
          </w:p>
          <w:p w:rsidR="00000000" w:rsidDel="00000000" w:rsidP="00000000" w:rsidRDefault="00000000" w:rsidRPr="00000000" w14:paraId="00000040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instrukcja użytkowania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</w:t>
              <w:br w:type="textWrapping"/>
              <w:t xml:space="preserve">w obszarze związanym z kwalifikacją SPO.04. Świadczenie usług opiekuńczych i wspomagających rozwój dziecka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choroby zakaźne wieku dziecięcego i ich objawy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SPO.04. Świadczenie usług opiekuńczych i wspomagających rozwój dziecka, eksperta w zakresie zawodu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opiekunka dziecięca</w:t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sekwencjach filmowych wymienione są poszczególne choroby zakaźne występujące u dzieci (odra, płonica, różyczka, ospa, świnka, krztusiec, mononukleoza). Pokazana jest i omówiona każda z tych chorób zakaźnych, jej nazwa, przyczyny, objawy, powikłania, zapobieganie. Poszczególne elementy są dodatkowo  omawiane i pokazane na planszach. Szczególny nacisk położyć na zmiany skórne oraz rodzaj kaszlu. Każdą sekwencję zakończyć zapobieganiem czyli profilaktyką z uwzględnieniem szczepień ochronnych i kalendarza szczepień.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 sekwencji filmowych pokazujących i omawiających poszczególne choroby zakaźne wieku dziecięcego, ich nazwy, przyczyny ich powstania oraz objawy z uwzględnieniem szczególnie rodzaju wysypki i kaszlu w poszczególnych chorobach zakaźnych: 1. z nich dotyczy Odry, 2. z nich dotyczy Płonicy, 3. z nich dotyczy Różyczki, 4. z nich dotyczy Ospy, 5. z nich dotyczy Świnki, 6. z nich dotyczy Krztuśca (w udźwiękowieniu odgłos kaszlu dziecka występującego w krztuścu), 7. z nich dotyczy Mononukleozy 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 zakończenie każdej sekwencji położyć nacisk na działania profilaktyczne zapobiegające chorobom zakaźnym czyli szczepienia ochronne wraz z kalendarzem szczepień ochronnych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standardowe wyposażenie pokoju, jeżeli jest to konieczne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ubranie naturalne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jasne, dobrze ukazujące objawy (wysypka na skórze i w jamie ustnej)</w:t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odgłosy: kaszlu dziecka występujące przy krztuścu zrealizowane w profesjonalnym studiu lub pobrane z multimedialnej bazy dźwięków 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tekstu lektorskiego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dowolnym, może to być pokój, łóżeczko, stolik,  w/na którym przebywa dziecko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20 maks. 30  minut 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chorób zakaźnych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przyczyny występowania chorób zakaźnych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objawy chorób zakaźnych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powikłania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profilaktyka – szczepienia ochronne, kalendarz szczepień ochronnych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chorób zakaźnych mają napisy w języku polski i łacińskim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3 - 5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– anatomia i fizjologia dziecka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 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  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– narządy, kości, układy, mięśnie, tkanki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poszczególnych części, układów, narządów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anatomii </w:t>
              <w:br w:type="textWrapping"/>
              <w:t xml:space="preserve">i fizjologii dziecka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– położenie poszczególnych układów i narządów 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położenie poszczególnych układów i narządów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schematy): układy i narządy anatomiczne dziecka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poszczególnych układów i narządów anatomicznych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tablicą interaktywną lub rzutnikiem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anatomii </w:t>
              <w:br w:type="textWrapping"/>
              <w:t xml:space="preserve">i fizjologii dziecka</w:t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E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 choroby wieku dziecięcego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chorób wieku dziecięcego, anatomii i fizjologii dziecka (rozpoznaje przyczyny, objawy kliniczne chorób wieku dziecięcego oraz sposoby zapobiegania tym chorobom, przedstawia ogólną budowę i fizjologię organizmu dziecka)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4 formy testowe, spośród wymienionych poniżej: </w:t>
            </w:r>
          </w:p>
          <w:p w:rsidR="00000000" w:rsidDel="00000000" w:rsidP="00000000" w:rsidRDefault="00000000" w:rsidRPr="00000000" w14:paraId="0000011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choroby wieku dziecięcego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 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72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73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74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75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uzdolnionymi)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– choroby wieku dziecięcego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stron internetowych , m.in.:</w:t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parenting.pl</w:t>
            </w:r>
          </w:p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medonet.pl</w:t>
            </w:r>
          </w:p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mp.pl</w:t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dziecko.pl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Ross &amp; Wilson, Anatomia i fizjologia człowieka w warunkach zdrowia i choroby</w:t>
            </w:r>
          </w:p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R. Rokicka-Milewska, ABC chorób wieku dziecięcego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H. Keudel, B. Capelle, Choroby wieku dziecięcego - poradnik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choroby wieku dziecięcego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DF67C2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DF67C2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DF67C2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DF67C2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DF67C2"/>
  </w:style>
  <w:style w:type="table" w:styleId="TableNormal" w:customStyle="1">
    <w:name w:val="Table Normal"/>
    <w:rsid w:val="00DF67C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DF67C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DF67C2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DF67C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DF67C2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name" w:customStyle="1">
    <w:name w:val="name"/>
    <w:basedOn w:val="Domylnaczcionkaakapitu"/>
    <w:rsid w:val="0079063E"/>
  </w:style>
  <w:style w:type="character" w:styleId="type" w:customStyle="1">
    <w:name w:val="type"/>
    <w:basedOn w:val="Domylnaczcionkaakapitu"/>
    <w:rsid w:val="0079063E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DF67C2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DF67C2"/>
    <w:rPr>
      <w:sz w:val="20"/>
      <w:szCs w:val="20"/>
    </w:rPr>
  </w:style>
  <w:style w:type="paragraph" w:styleId="Podtytu">
    <w:name w:val="Subtitle"/>
    <w:basedOn w:val="Normalny1"/>
    <w:next w:val="Normalny1"/>
    <w:rsid w:val="00DF67C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"/>
    <w:rsid w:val="00DF67C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bGCBepy5aDaq7aNASnSbcnwJrw==">AMUW2mUPPHns0BzYMALOOCe5vBgWaHNeDXPQfOHuMs822959IgmOp50FwafCApyBhtbB+oyj1iLuRayaAoT7VNR+z60JFjZvQe3B+Heg6qmK60uAaApUKJu33JM2LTOSKpKoRgy7VJtR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2020-05-18T18:22:00Z</dcterms:created>
  <dc:creator>prezentacja</dc:creator>
</cp:coreProperties>
</file>