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tyjcwt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Wspieranie osoby z niepełnosprawnością w miejscu zamieszkania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SPO.01. Udzielanie pomocy i organizacja wsparcia osobie niepełnosprawnej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Asystent osoby niepełnosprawnej  341201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SPO.03. Świadczenie usług opiekuńczo-wspierających osobie podopiecznej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 w domu pomocy społecznej 341203</w:t>
      </w:r>
    </w:p>
    <w:p w:rsidR="00000000" w:rsidDel="00000000" w:rsidP="00000000" w:rsidRDefault="00000000" w:rsidRPr="00000000" w14:paraId="00000009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dotyczy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wspierania osób z niepełnosprawnościami. W domach pomocy społecznej przebywa liczna grupa podopiecznych z niepełnosprawnościami, dlatego zasób może być wykorzystywany zarówno w nauce zawodu Asystent osoby niepełnosprawnej jak i zawodu Opiekun w domu pomocy społecznej.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Asystent osoby niepełnosprawnej  341201 i Opiekun w domu pomocy społecznej 341203 branży POMOC SPOŁECZNA dla  wyodrębnionych w zawodach kwalifikacji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ind w:left="3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</w:t>
            </w:r>
          </w:p>
          <w:p w:rsidR="00000000" w:rsidDel="00000000" w:rsidP="00000000" w:rsidRDefault="00000000" w:rsidRPr="00000000" w14:paraId="0000001F">
            <w:pPr>
              <w:ind w:left="3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SPO.01. Udzielanie pomocy i organizacja wsparcia osobie niepełnosprawnej 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ind w:left="1097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świadczenia opieki i wsparcia w zakresie samodzielnego funkcjonowania osoby niepełnosprawnej;</w:t>
            </w:r>
          </w:p>
          <w:p w:rsidR="00000000" w:rsidDel="00000000" w:rsidP="00000000" w:rsidRDefault="00000000" w:rsidRPr="00000000" w14:paraId="00000021">
            <w:pPr>
              <w:ind w:left="34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SPO.03. Świadczenie usług opiekuńczo-wspierających osobie podopiecznej: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zapewnienia opieki osobie podopiecznej.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9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SPO.01.4. Wspieranie osoby niepełnosprawnej w czynnościach życia codziennego</w:t>
            </w:r>
          </w:p>
          <w:p w:rsidR="00000000" w:rsidDel="00000000" w:rsidP="00000000" w:rsidRDefault="00000000" w:rsidRPr="00000000" w14:paraId="0000002F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stosuje standardy i procedury podczas wykonywania usług opiekuńczo-wspierających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określa zasady, metody i techniki wykonywania czynności higienicznych, pielęgnacyjnych i opiekuńczych 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stosuje narzędzia, środki i materiały do wykonywania czynności higienicznych i pielęgnacyjnych u osoby niepełnosprawnej</w:t>
            </w:r>
          </w:p>
          <w:p w:rsidR="00000000" w:rsidDel="00000000" w:rsidP="00000000" w:rsidRDefault="00000000" w:rsidRPr="00000000" w14:paraId="00000032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wspiera osobę niepełnosprawną w wykonywaniu czynności dnia codziennego</w:t>
            </w:r>
          </w:p>
          <w:p w:rsidR="00000000" w:rsidDel="00000000" w:rsidP="00000000" w:rsidRDefault="00000000" w:rsidRPr="00000000" w14:paraId="00000033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wspiera osobę niepełnosprawną w prowadzeniu gospodarstwa domowego 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pomaga osobie niepełnosprawnej w przyjmowaniu leków zleconych przez lekarza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wspiera osobę niepełnosprawną w korzystaniu ze sprzętu rehabilitacyjnego i przedmiotów ortopedycznych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SPO.01.5. Aktywizowanie osoby niepełnosprawnej do samodzielności życiowej</w:t>
            </w:r>
          </w:p>
          <w:p w:rsidR="00000000" w:rsidDel="00000000" w:rsidP="00000000" w:rsidRDefault="00000000" w:rsidRPr="00000000" w14:paraId="00000037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wspiera osobę z niepełnosprawnością w korzystaniu ze sprzętu i pomocy technicznych ułatwiających samodzielne wykonywanie codziennych czynności;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SPO.03.4. Wykonywanie czynności opiekuńczo-wspierających u osoby podopiecznej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wykonuje czynności opiekuńczo-higieniczne u osoby podopiecznej zgodnie z procedurami i standardami opieki,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2et92p0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pomaga osobie podopiecznej w przyjmowaniu leków zleconych przez lekarza;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6jkcj86atnnb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SPO.03.5. Aktywizowanie osoby podopiecznej do samodzielności życiowej</w:t>
            </w:r>
          </w:p>
          <w:p w:rsidR="00000000" w:rsidDel="00000000" w:rsidP="00000000" w:rsidRDefault="00000000" w:rsidRPr="00000000" w14:paraId="0000003C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pomaga osobie podopiecznej w organizowaniu gospodarstwa domowego w warunkach domu pomocy społecznej;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  </w:t>
            </w:r>
          </w:p>
          <w:p w:rsidR="00000000" w:rsidDel="00000000" w:rsidP="00000000" w:rsidRDefault="00000000" w:rsidRPr="00000000" w14:paraId="0000004E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F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0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lub bibliografia </w:t>
            </w:r>
          </w:p>
          <w:p w:rsidR="00000000" w:rsidDel="00000000" w:rsidP="00000000" w:rsidRDefault="00000000" w:rsidRPr="00000000" w14:paraId="00000051">
            <w:pPr>
              <w:numPr>
                <w:ilvl w:val="2"/>
                <w:numId w:val="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niepełnosprawnej, eksperta w zakresie zawodu asystent osoby niepełnosprawnej.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 sekwencji filmowych: 1. z nich dotyczy asystowania osobie głuchoniewidomej, 2. z nich dotyczy asystowania osobie chorej leżącej, 3 z nich dotyczy asystowania osobie z autyzmem, 4 z nich dotyczy asystowania osobie z niepełnosprawnością ruchową, 5 z nich dotyczy asystowania osobie z niepełnosprawnością intelektualną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osobowości i kompetencji asystenta osoby niepełnosprawnej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</w:t>
            </w:r>
          </w:p>
          <w:p w:rsidR="00000000" w:rsidDel="00000000" w:rsidP="00000000" w:rsidRDefault="00000000" w:rsidRPr="00000000" w14:paraId="0000006E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świadczenia opieki i wsparcia w zakresie samodzielnego funkcjonowania osoby niepełnosprawnej, </w:t>
            </w:r>
          </w:p>
          <w:p w:rsidR="00000000" w:rsidDel="00000000" w:rsidP="00000000" w:rsidRDefault="00000000" w:rsidRPr="00000000" w14:paraId="0000006F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zapewnienia opieki osobie podopiecznej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</w:t>
            </w:r>
          </w:p>
          <w:p w:rsidR="00000000" w:rsidDel="00000000" w:rsidP="00000000" w:rsidRDefault="00000000" w:rsidRPr="00000000" w14:paraId="00000071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stosowanie komunikacji alternatywnej i wspomagającej (np. alfabet Lorma, piktogramy, urządzenia elektroniczne, itp.)</w:t>
            </w:r>
          </w:p>
          <w:p w:rsidR="00000000" w:rsidDel="00000000" w:rsidP="00000000" w:rsidRDefault="00000000" w:rsidRPr="00000000" w14:paraId="00000072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czynności higienicznych i pielęgnacyjnych </w:t>
            </w:r>
          </w:p>
          <w:p w:rsidR="00000000" w:rsidDel="00000000" w:rsidP="00000000" w:rsidRDefault="00000000" w:rsidRPr="00000000" w14:paraId="00000073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wspieranie w wykonywaniu czynności dnia codziennego i w prowadzeniu gospodarstwa domowego</w:t>
            </w:r>
          </w:p>
          <w:p w:rsidR="00000000" w:rsidDel="00000000" w:rsidP="00000000" w:rsidRDefault="00000000" w:rsidRPr="00000000" w14:paraId="00000074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 w przyjmowaniu leków zleconych przez lekarza</w:t>
            </w:r>
          </w:p>
          <w:p w:rsidR="00000000" w:rsidDel="00000000" w:rsidP="00000000" w:rsidRDefault="00000000" w:rsidRPr="00000000" w14:paraId="00000075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pomoc w korzystaniu ze sprzętu rehabilitacyjnego i przedmiotów ortopedycznych</w:t>
            </w:r>
          </w:p>
          <w:p w:rsidR="00000000" w:rsidDel="00000000" w:rsidP="00000000" w:rsidRDefault="00000000" w:rsidRPr="00000000" w14:paraId="0000007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wspieranie w korzystaniu ze sprzętu i pomocy technicznych ułatwiających samodzielne wykonywanie codziennych czynności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7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Podkreślenie w treści sekwencji, że: </w:t>
            </w:r>
          </w:p>
          <w:p w:rsidR="00000000" w:rsidDel="00000000" w:rsidP="00000000" w:rsidRDefault="00000000" w:rsidRPr="00000000" w14:paraId="00000078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asystowanie nie polega na wyręczaniu ani narzucaniu swojej woli</w:t>
            </w:r>
          </w:p>
          <w:p w:rsidR="00000000" w:rsidDel="00000000" w:rsidP="00000000" w:rsidRDefault="00000000" w:rsidRPr="00000000" w14:paraId="00000079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asystent wspiera niezależne życie niepełnosprawnego w czynnościach dnia codziennego</w:t>
            </w:r>
          </w:p>
          <w:p w:rsidR="00000000" w:rsidDel="00000000" w:rsidP="00000000" w:rsidRDefault="00000000" w:rsidRPr="00000000" w14:paraId="0000007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z niepełnosprawnością sama decyduje o zakresie i formach oczekiwanego wsparcia</w:t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5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naprzemiennie w kolejnych sekwencjach filmowych różne pomieszczenia mieszkalne 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5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typowe, różnorodne (w każdej sekwencji inne) wystroje wnętrz spotykane w pomieszczeniach mieszkalnych (mieszkaniach, domach) 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5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przykładowy sprzęt rehabilitacyjny i przedmioty ułatwiające życie codzienne osób z niepełnosprawnościami w każdej sekwencji filmowej inne dobrane do prezentowanej niepełnosprawności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5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leki, inhalatory, krople do oczu, zalecenia lekarskie (do zaprezentowania pomocy przy podawaniu leków zleconych przez lekarza)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5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w ubraniach codziennych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aktorami powinny być osoby z niepełnosprawnościami i aktor asystent lub aktorzy asystenci (w każdej sekwencji inny)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głosy aktorów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dialogi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 (naturalne odgłosy zjawisk, zrealizowane w profesjonalnym studiu lub pobrane z multimedialnej bazy dźwięków)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w warunkach rzeczywistych czyli różnych pomieszczeniach mieszkalnych</w:t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6 maks. 10 aktorów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głuchoniewidoma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chora leżąca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z autyzmem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z niepełnosprawnością intelektualną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z niepełnosprawnością ruchową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asystent osoby niepełnosprawnej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15 maks. 30 minut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i/lub napisy: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tłumaczenia podczas porozumiewania się przy zastosowaniu komunikacji alternatywnej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napisy w sytuacji kiedy mowa osoby z niepełnosprawnością jest niewyraźna/niezrozumiała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języku angielskim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(możliwość wyboru)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3-5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wyposażenia miejsca zamieszkania poprzez dobór gotowych elementów wyposażenia mieszkania osoby z niepełnosprawnością w wymiarze 3D</w:t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instrukcje, jak korzystać z programu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bazy danych: </w:t>
            </w:r>
          </w:p>
          <w:p w:rsidR="00000000" w:rsidDel="00000000" w:rsidP="00000000" w:rsidRDefault="00000000" w:rsidRPr="00000000" w14:paraId="000000D0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mebli, </w:t>
            </w:r>
          </w:p>
          <w:p w:rsidR="00000000" w:rsidDel="00000000" w:rsidP="00000000" w:rsidRDefault="00000000" w:rsidRPr="00000000" w14:paraId="000000D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sprzętów domowych, </w:t>
            </w:r>
          </w:p>
          <w:p w:rsidR="00000000" w:rsidDel="00000000" w:rsidP="00000000" w:rsidRDefault="00000000" w:rsidRPr="00000000" w14:paraId="000000D2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sprzętów rehabilitacyjnych</w:t>
            </w:r>
          </w:p>
          <w:p w:rsidR="00000000" w:rsidDel="00000000" w:rsidP="00000000" w:rsidRDefault="00000000" w:rsidRPr="00000000" w14:paraId="000000D3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urządzeń dnia codziennego pomagające niwelować ograniczenia związane z niepełnosprawnością 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bazy danych:</w:t>
            </w:r>
          </w:p>
          <w:p w:rsidR="00000000" w:rsidDel="00000000" w:rsidP="00000000" w:rsidRDefault="00000000" w:rsidRPr="00000000" w14:paraId="000000D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chorób i niepełnosprawności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bazy danych:</w:t>
            </w:r>
          </w:p>
          <w:p w:rsidR="00000000" w:rsidDel="00000000" w:rsidP="00000000" w:rsidRDefault="00000000" w:rsidRPr="00000000" w14:paraId="000000D7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mieszkań, pomieszczeń mieszkalnych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wprowadzenia własnego planu mieszkania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poziomy trudności/ zaawansowania (od ustawienia i dopasowania podstawowych mebli do zaproponowania urządzeń specjalistycznych)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dotyczące stopnia poprawności wykonania zadania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zwrotna – wyjaśnienie dlaczego proponowany element nie może być zastosowany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elementów w formie tekstowej i dźwiękowej 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i wyświetlany tekst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podgląd 3D i wirtualny spacer</w:t>
            </w:r>
          </w:p>
          <w:p w:rsidR="00000000" w:rsidDel="00000000" w:rsidP="00000000" w:rsidRDefault="00000000" w:rsidRPr="00000000" w14:paraId="000000E0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zgromadzonych w formie bibliotek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projektów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i zmiany kolorów elementów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powiększania i pomniejszania obrazu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audio, do wyboru język polski i język angielski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obracania obiektów i przestrzeni z możliwością obejrzenia z każdej strony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 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zakresu: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określania zasady, metod i technik wykonywania czynności higienicznych, pielęgnacyjnych i opiekuńczych,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stosowania narzędzi, środków i materiałów do wykonywania czynności higienicznych i pielęgnacyjnych u osoby niepełnosprawnej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wspierania osoby niepełnosprawnej w wykonywaniu czynności dnia codziennego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wspierania osoby niepełnosprawnej w prowadzeniu gospodarstwa domowego 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pomagania osoby niepełnosprawnej w przyjmowaniu leków zleconych przez lekarza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wspierania osoby niepełnosprawnej w korzystaniu ze sprzętu rehabilitacyjnego i przedmiotów ortopedycznych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Asystent osoby niepełnosprawnej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1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video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 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zasady, alfabetycznie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6D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6E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6F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70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(słabowidzącymi i słabosłyszącymi)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 zrzutu z ekranu, wykonanie zdjęcia obiektu ustawionego na ekranie widoku dokumentu do formatu jpg/png 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18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spis zawartości e-zasobu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 linki do stron internetowych, m.in.:</w:t>
            </w:r>
          </w:p>
          <w:p w:rsidR="00000000" w:rsidDel="00000000" w:rsidP="00000000" w:rsidRDefault="00000000" w:rsidRPr="00000000" w14:paraId="000001B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www.aktywizacja.org.pl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www.pfron.org.pl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www.niepelnosprawni.gov.pl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www.pzn.org.pl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20 pozycji bibliograficznych, np.:</w:t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3"/>
            <w:bookmarkEnd w:id="3"/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Akademia Umiejętności interpersonalnych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Oficyna Wydawnicza Impuls, Kraków 2009.</w:t>
            </w:r>
          </w:p>
          <w:p w:rsidR="00000000" w:rsidDel="00000000" w:rsidP="00000000" w:rsidRDefault="00000000" w:rsidRPr="00000000" w14:paraId="000001B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Błeszyński J.J. (red.),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Alternatywne i wspomagające metody komunikacji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Oficyna Wydawnicza Impuls, Kraków 2008. </w:t>
            </w:r>
          </w:p>
          <w:p w:rsidR="00000000" w:rsidDel="00000000" w:rsidP="00000000" w:rsidRDefault="00000000" w:rsidRPr="00000000" w14:paraId="000001B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Bojarska M., Karlińska B.,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Usługi asystenckie w systemie wsparcia osób niepełnosprawnych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2007</w:t>
            </w:r>
          </w:p>
          <w:p w:rsidR="00000000" w:rsidDel="00000000" w:rsidP="00000000" w:rsidRDefault="00000000" w:rsidRPr="00000000" w14:paraId="000001B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Cieślik R., Sęk H.,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Wsparcie społeczne stres i zdrowie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PWN, Warszawa 2018.</w:t>
            </w:r>
          </w:p>
          <w:p w:rsidR="00000000" w:rsidDel="00000000" w:rsidP="00000000" w:rsidRDefault="00000000" w:rsidRPr="00000000" w14:paraId="000001B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Kaczmarek B.B., Makaton.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Gesty, materiały szkoleniowe,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2015. </w:t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Kaczmarek B.B.,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Program porozumiewania się Makaton w edukacji i terapii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Oficyna Wydawnicza Impuls, Kraków 2006.</w:t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Kaczmarek B. B.,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Makaton w rozwoju osób ze złożonymi potrzebami komunikacyjnymi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Oficyna Wydawnicza Impuls, Kraków 2014.</w:t>
            </w:r>
          </w:p>
          <w:p w:rsidR="00000000" w:rsidDel="00000000" w:rsidP="00000000" w:rsidRDefault="00000000" w:rsidRPr="00000000" w14:paraId="000001C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00"/>
                  <w:highlight w:val="white"/>
                  <w:u w:val="single"/>
                  <w:rtl w:val="0"/>
                </w:rPr>
                <w:t xml:space="preserve">Kornaszewska-Polak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M. (red.),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Asystentura rodziny. Teoria, praktyka, badania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Wyższa Szkoła Humanistas, Sosnowiec 2016.</w:t>
            </w:r>
          </w:p>
          <w:p w:rsidR="00000000" w:rsidDel="00000000" w:rsidP="00000000" w:rsidRDefault="00000000" w:rsidRPr="00000000" w14:paraId="000001C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Mikołajewska E.,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Osoba ciężko chora lub niepełnosprawna w domu,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PZWL Wydawnictwo Lekarskie, Warszawa 2017.</w:t>
            </w:r>
          </w:p>
          <w:p w:rsidR="00000000" w:rsidDel="00000000" w:rsidP="00000000" w:rsidRDefault="00000000" w:rsidRPr="00000000" w14:paraId="000001C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Strugała M., Talarska D.,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Rehabilitacja i pielęgnowanie osób niepełnosprawnych,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PZWL Wydawnictwo Lekarskie, Warszawa 2013.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4"/>
            <w:bookmarkEnd w:id="4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Szwałkiewicz E.,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Opieka nad osobami przewlekle chorymi, w wieku podeszłym i niesamodzielnymi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PZWL Wydawnictwo Lekarskie, Warszawa 2009.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Tetzchner S., Martinsen H.,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Wprowadzenie do wspomagających i alternatywnych sposobów porozumiewania się,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Stowarzyszenie „Mówić bez Słów” Warszawa 2002. 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Zima-Parjaszewska M., Abramowska B. E. (red.),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Asystent osoby z niepełnosprawnością intelektualną: poradnik metodyczny dla profesjonalistów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Warszawa 2017;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5"/>
            <w:bookmarkEnd w:id="5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Żuchowska D.,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Aktywność środowisk osób niepełnosprawnych we współczesnej Polsce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PZWL Wydawnictwo Lekarskie, Warszawa 2016.</w:t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5"/>
              </w:numPr>
              <w:spacing w:line="36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„Niepełnosprawność”, kwartalnik PFRON http://kn.pfron.org.pl/.</w:t>
            </w:r>
          </w:p>
          <w:p w:rsidR="00000000" w:rsidDel="00000000" w:rsidP="00000000" w:rsidRDefault="00000000" w:rsidRPr="00000000" w14:paraId="000001C9">
            <w:pPr>
              <w:numPr>
                <w:ilvl w:val="0"/>
                <w:numId w:val="5"/>
              </w:numPr>
              <w:spacing w:line="36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„Człowiek – Niepełnosprawność – Społeczeństwo”, kwartalnik Akademii Pedagogiki Specjalnej.</w:t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5"/>
              </w:numP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„Niepełnosprawność. Dyskursy pedagogiki specjalnej”, kwartalnik Wydziału Nauk Społecznych Uniwersytetu Gdańskiego.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D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pozycji bibliografii alfabetycznie</w:t>
            </w:r>
          </w:p>
          <w:p w:rsidR="00000000" w:rsidDel="00000000" w:rsidP="00000000" w:rsidRDefault="00000000" w:rsidRPr="00000000" w14:paraId="000001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miejscu zamieszkania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screencasty instruktażowe do programu ćwiczeniowego do projektowania przez dobieranie</w:t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4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1069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Akapit z listą1,Kolorowa lista — akcent 11,N w prog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,N w prog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FB7FC9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ksiegarnia.pwn.pl/autor/Monika-Kornaszewska-Polak,a,529367092" TargetMode="External"/><Relationship Id="rId10" Type="http://schemas.openxmlformats.org/officeDocument/2006/relationships/hyperlink" Target="http://www.pzn.org.pl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iepelnosprawni.gov.pl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ktywizacja.org.pl" TargetMode="External"/><Relationship Id="rId8" Type="http://schemas.openxmlformats.org/officeDocument/2006/relationships/hyperlink" Target="http://www.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EdZ72tmtqTqolxBCrWCAAiPCwA==">AMUW2mX7ax5yCxCAkbwGARgksboyaTCTHeplQ+7vEwd+p+ZSRdxyfommOnU4vEb2vz8QcqjDf/aLFs+KvSvMSdiHP2JuodaGqmHZZuKnxWelvz/jwKgfD+0S65CbKqnr1owmubbT6Jc5qAwDT20F8amI2RB1T7ikA1qvH1KS9lzMTefgbf1+Iock9M6C3jkzlrksab831+1LCzoiXss8yWKp2jWS6/RFYQ==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2020-05-18T15:51:00Z</dcterms:created>
  <dc:creator>prezentacja</dc:creator>
</cp:coreProperties>
</file>