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„Gatunki wierzb plecionkarskich i warunki ich uprawy”.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DRM.01 Wykonywanie wyrobów koszykarsko-plecionkarskich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koszykarz-plecionkarz  731702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 W e-zasobie powinny znaleźć się treści charakteryzujące gatunki wierzb plecionkarskich, ich cechy użytkowe oraz wymagania glebowe, klimatyczne i co do ukształtowania terenu. Do gatunków wierzb plecionkarskich zaliczamy: Wierzbę amerykankę (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rtl w:val="0"/>
              </w:rPr>
              <w:t xml:space="preserve">Salix x americana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), Wierzbę wiciową zwaną konopianką (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rtl w:val="0"/>
              </w:rPr>
              <w:t xml:space="preserve">Salix viminalis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), Wierzbę  migdałową (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rtl w:val="0"/>
              </w:rPr>
              <w:t xml:space="preserve">Salix amygdalina)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 zwaną trójpręcikową (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rtl w:val="0"/>
              </w:rPr>
              <w:t xml:space="preserve">Salix trianda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), Wierzbę purpurową (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rtl w:val="0"/>
              </w:rPr>
              <w:t xml:space="preserve">Salix purpurea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), Wierzbę długokończystą (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rtl w:val="0"/>
              </w:rPr>
              <w:t xml:space="preserve">Salix x dasyclados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) oraz Wierzbą pięciopręcikową (</w:t>
            </w:r>
            <w:r w:rsidDel="00000000" w:rsidR="00000000" w:rsidRPr="00000000">
              <w:rPr>
                <w:rFonts w:ascii="Arial" w:cs="Arial" w:eastAsia="Arial" w:hAnsi="Arial"/>
                <w:i w:val="1"/>
                <w:sz w:val="24"/>
                <w:szCs w:val="24"/>
                <w:rtl w:val="0"/>
              </w:rPr>
              <w:t xml:space="preserve">Salix pentandra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) zwaną  wierzbą laurową. Do odmian wierzb plecionkarskich zaliczamy: konopiankę królewską, konopiankę czerwoną, konopiankę Carmen, migdałową  Kottenheider, purpurową uralską.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koszykarz-plecionkarz  branży drzewno-meblarskiej  i dla  wyodrębnionej w zawodzie kwalifikacji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DRM.01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celu kształcenia określonego dla kwalifikacji DRM.01 Wykonywanie wyrobów koszykarsko-plecionkarskich:</w:t>
            </w:r>
          </w:p>
          <w:p w:rsidR="00000000" w:rsidDel="00000000" w:rsidP="00000000" w:rsidRDefault="00000000" w:rsidRPr="00000000" w14:paraId="0000001A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przygotowania surowców i materiałów do wykonania wyrobów plecionkarskich.</w:t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 </w:t>
            </w:r>
          </w:p>
          <w:p w:rsidR="00000000" w:rsidDel="00000000" w:rsidP="00000000" w:rsidRDefault="00000000" w:rsidRPr="00000000" w14:paraId="0000001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się.</w:t>
            </w:r>
          </w:p>
        </w:tc>
        <w:tc>
          <w:tcPr/>
          <w:p w:rsidR="00000000" w:rsidDel="00000000" w:rsidP="00000000" w:rsidRDefault="00000000" w:rsidRPr="00000000" w14:paraId="0000002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 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DRM.01.4 Podstawy uprawy i przetwórstwa wierzby plecionkarskiej: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DRM.01.4 1) charakteryzuje warunki uprawy wierzb plecionkarskich</w:t>
            </w:r>
          </w:p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DRM.01.4  2) charakteryzuje gatunki wierzb plecionkarskich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6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</w:t>
            </w:r>
          </w:p>
          <w:p w:rsidR="00000000" w:rsidDel="00000000" w:rsidP="00000000" w:rsidRDefault="00000000" w:rsidRPr="00000000" w14:paraId="00000037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plansza interaktywna</w:t>
            </w:r>
          </w:p>
          <w:p w:rsidR="00000000" w:rsidDel="00000000" w:rsidP="00000000" w:rsidRDefault="00000000" w:rsidRPr="00000000" w14:paraId="00000038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samosprawdzające</w:t>
            </w:r>
          </w:p>
          <w:p w:rsidR="00000000" w:rsidDel="00000000" w:rsidP="00000000" w:rsidRDefault="00000000" w:rsidRPr="00000000" w14:paraId="00000039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</w:t>
            </w:r>
          </w:p>
          <w:p w:rsidR="00000000" w:rsidDel="00000000" w:rsidP="00000000" w:rsidRDefault="00000000" w:rsidRPr="00000000" w14:paraId="0000003A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</w:t>
            </w:r>
          </w:p>
          <w:p w:rsidR="00000000" w:rsidDel="00000000" w:rsidP="00000000" w:rsidRDefault="00000000" w:rsidRPr="00000000" w14:paraId="0000003B">
            <w:pPr>
              <w:numPr>
                <w:ilvl w:val="2"/>
                <w:numId w:val="2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poradnik dla nauczyciela</w:t>
            </w:r>
          </w:p>
          <w:p w:rsidR="00000000" w:rsidDel="00000000" w:rsidP="00000000" w:rsidRDefault="00000000" w:rsidRPr="00000000" w14:paraId="0000003C">
            <w:pPr>
              <w:numPr>
                <w:ilvl w:val="2"/>
                <w:numId w:val="2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poradnik dla uczącego się</w:t>
            </w:r>
          </w:p>
          <w:p w:rsidR="00000000" w:rsidDel="00000000" w:rsidP="00000000" w:rsidRDefault="00000000" w:rsidRPr="00000000" w14:paraId="0000003D">
            <w:pPr>
              <w:numPr>
                <w:ilvl w:val="2"/>
                <w:numId w:val="2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3E">
            <w:pPr>
              <w:numPr>
                <w:ilvl w:val="2"/>
                <w:numId w:val="2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użytkownika.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DRM.01 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„Gatunki wierzb plecionkarskich i warunki ich uprawy”.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koszykarsko-plecionkarskich., eksperta w zakresie zawodu koszykarz-plecionkarz, technologii wytwarzania wyrobów koszykarsko-plecionkarskich.</w:t>
            </w:r>
          </w:p>
        </w:tc>
        <w:tc>
          <w:tcPr/>
          <w:p w:rsidR="00000000" w:rsidDel="00000000" w:rsidP="00000000" w:rsidRDefault="00000000" w:rsidRPr="00000000" w14:paraId="000000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 </w:t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pożądanych cech wierzb plecionkarskich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zadanie zawodowe -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przygotowanie surowców i materiałów do wykonania wyrobów plecionkarskich, w tym: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charakterystykę wymienionych we wprowadzeniu gatunków i odmian wierzb plecionkarskich</w:t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analizę cechy użytkowe wierzb plecionkarskich</w:t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charakterystykę wymagań glebowych i klimatycznych gatunków wierzb plecionkarskich</w:t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wpływ ukształtowania terenu na wzrost wierzb plecionkarskich</w:t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wpływ ukształtowania terenu na warunki uprawy wierzb plecionkarskich</w:t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 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gatunki/odmiany wierzb plecionkarskich w naturalnych warunkach uprawy (na plantacjach wiklinowych)</w:t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liście, pędy, profile glebowe gleb stosowanych pod uprawę wierzb plecionkarskich</w:t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</w:t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dostosowane do panujących warunków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zgodnie z przepisami BHP oraz potrzeb</w:t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 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0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profesjonalnym studio, miejscu wzrostu wierzb plecionkarskich (plantacji wikliny). Powinien przedstawiać każdy gatunek/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odmianę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wymieniony w wprowadzeniu w warunkach wzrostu wierzb plecionkarskich na plantacji wikliny w różnych fazach wzrostu (np. młode pędy odrastające po ścięciu, w czasie wzrostu oraz w okresie bezlistnym).</w:t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3 aktorów.</w:t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role związane z: doborem terenu pod zakładanie plantacji wierzb plecionkarskich, określenia cech użytkowych wierzb plecionkarskich, określeniem wymagań klimatyczno-glebowych wierzb plecionkarskich, wpływu ukształtowania terenu na uprawę i wzrost wierzb plecionkarskich, charakterystyki gatunków wierzb plecionkarskich. </w:t>
            </w:r>
          </w:p>
          <w:p w:rsidR="00000000" w:rsidDel="00000000" w:rsidP="00000000" w:rsidRDefault="00000000" w:rsidRPr="00000000" w14:paraId="0000007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Aktorzy: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pełnią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rolę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lektora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 wskazuje charakterystyczne cechy wierzb w czasie charakterystyki np. liście, pędy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 przedstawia cechy użytkowe wierzb plecionkarskich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 wskazuje różne tereny stosowane pod zakładanie plantacji wierzb plecionkarskich.</w:t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10 maks. 15 minut.</w:t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 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tytuł filmu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poszczególne gatunki wierzb plecionkarskich wymienione w wprowadzeniu</w:t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8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języku angielskim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</w:tc>
        <w:tc>
          <w:tcPr/>
          <w:p w:rsidR="00000000" w:rsidDel="00000000" w:rsidP="00000000" w:rsidRDefault="00000000" w:rsidRPr="00000000" w14:paraId="000000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9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PLANSZA  INTERAKTYWNA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„Gatunki wierzb plecionkarskich i warunki ich uprawy”.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jc w:val="both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E-zasób powinien składać się z 6 plansz osobno dla każdej z wymienionych wierzb (amerykanki, wiciowej, migdałowej, purpurowej, długokończystej, i pięcioprecikowej). Każda z plansz interaktywnych powinna przedstawiać charakterystyki wierzb plecionkarskich. Do każdego gatunku należy przypisać odpowiednie odmiany (wymienione w wprowadzeniu) i również je scharakteryzować. Plansze powinny zawierać tekst (charakterystykę gatunków i odmian) opisujący ich wygląd, i sposób wzrostu oraz zastosowanie w plecionkarstwie. Charakterystyka powinna obejmować również wymagania klimatyczno-glebowe wierzb plecionkarskich. Oprócz tekstu na planszach powinny znajdować się kolorowe zdjęcia oraz rysunki przedstawiające najważniejsze cechy gatunków wierzb plecionkarskich umożliwiające ich rozpoznanie.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charakterystyki gatunków wierzb plecionkarskich i ich grafikę oraz pożądane cechy, charakterystyki czynników klimatyczno-glebowych mających wpływ na wzrost wierzb plecionkarskich. Umożliwia dobieranie terenu pod uprawę wierzb plecionkarskich.</w:t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 </w:t>
            </w:r>
          </w:p>
          <w:p w:rsidR="00000000" w:rsidDel="00000000" w:rsidP="00000000" w:rsidRDefault="00000000" w:rsidRPr="00000000" w14:paraId="000000A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 : zdjęcia, rysunki</w:t>
            </w:r>
          </w:p>
          <w:p w:rsidR="00000000" w:rsidDel="00000000" w:rsidP="00000000" w:rsidRDefault="00000000" w:rsidRPr="00000000" w14:paraId="000000A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przypisane obiektom dane tekstowe</w:t>
            </w:r>
          </w:p>
          <w:p w:rsidR="00000000" w:rsidDel="00000000" w:rsidP="00000000" w:rsidRDefault="00000000" w:rsidRPr="00000000" w14:paraId="000000A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A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wskazania obiektu oraz różnej szczegółowości informacji z danego obiektu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charakterystyki wierzb plecionkarskich i warunków  ich uprawy.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planszy /grafiki/opisu</w:t>
            </w:r>
          </w:p>
          <w:p w:rsidR="00000000" w:rsidDel="00000000" w:rsidP="00000000" w:rsidRDefault="00000000" w:rsidRPr="00000000" w14:paraId="000000B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B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powiększenia elementów złożonych grafiki</w:t>
            </w:r>
          </w:p>
          <w:p w:rsidR="00000000" w:rsidDel="00000000" w:rsidP="00000000" w:rsidRDefault="00000000" w:rsidRPr="00000000" w14:paraId="000000B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z tablica interaktywną lub rzutnikiem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dobierania elementów z wirtualnego zasobu/biblioteki</w:t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uprawy wierzb plecionkarskich.</w:t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  </w:t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D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„Gatunki wierzb plecionkarskich i warunki ich uprawy”.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efektów kształcenia:</w:t>
            </w:r>
          </w:p>
          <w:p w:rsidR="00000000" w:rsidDel="00000000" w:rsidP="00000000" w:rsidRDefault="00000000" w:rsidRPr="00000000" w14:paraId="000000DC">
            <w:pPr>
              <w:ind w:left="360" w:firstLine="0"/>
              <w:jc w:val="left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DRM.01.4.1) charakteryzuje warunki uprawy wierzb plecionkarskich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D">
            <w:pPr>
              <w:ind w:left="360" w:firstLine="0"/>
              <w:jc w:val="left"/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DRM.01.4.2) charakteryzuje gatunki wierzb plecionkarskich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koszykarz-plecionkarz.</w:t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10 form testowych, spośród: </w:t>
            </w:r>
          </w:p>
          <w:p w:rsidR="00000000" w:rsidDel="00000000" w:rsidP="00000000" w:rsidRDefault="00000000" w:rsidRPr="00000000" w14:paraId="000000E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10 pytań</w:t>
            </w:r>
          </w:p>
          <w:p w:rsidR="00000000" w:rsidDel="00000000" w:rsidP="00000000" w:rsidRDefault="00000000" w:rsidRPr="00000000" w14:paraId="000000E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0E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0E9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0E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0E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0E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0E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0E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0E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0F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</w:t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0F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0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0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0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  </w:t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7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„Gatunki wierzb plecionkarskich i warunki ich uprawy”.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2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2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1 maks. 2 strony </w:t>
            </w:r>
          </w:p>
          <w:p w:rsidR="00000000" w:rsidDel="00000000" w:rsidP="00000000" w:rsidRDefault="00000000" w:rsidRPr="00000000" w14:paraId="0000012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2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- alfabetycznie</w:t>
            </w:r>
          </w:p>
          <w:p w:rsidR="00000000" w:rsidDel="00000000" w:rsidP="00000000" w:rsidRDefault="00000000" w:rsidRPr="00000000" w14:paraId="0000012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2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2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 </w:t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2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2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2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odsłuchania definicji</w:t>
            </w:r>
          </w:p>
          <w:p w:rsidR="00000000" w:rsidDel="00000000" w:rsidP="00000000" w:rsidRDefault="00000000" w:rsidRPr="00000000" w14:paraId="0000012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wyświetlenia zdjęcia lub rysunku pod opisem</w:t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3B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4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44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45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46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47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 narządu wzroku, słuchu)</w:t>
            </w:r>
          </w:p>
          <w:p w:rsidR="00000000" w:rsidDel="00000000" w:rsidP="00000000" w:rsidRDefault="00000000" w:rsidRPr="00000000" w14:paraId="0000014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4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4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4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5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5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 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F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6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6E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6F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70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71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DRM.01 Wykonywanie wyrobów koszykarsko-plecionkarskich.  </w:t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2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„Gatunki wierzb plecionkarskich i warunki ich uprawy”.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stron internetowych, m.in.: </w:t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2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psz.praca.gov.pl/rynek-pracy/bazy-danych/infodoradca//-/InfoDoradcaPlus/litera/A?_occupationPlusportlet_WAR_nnkportlet_code=818903&amp;_occupationPlusportlet_WAR_nnkportlet_description=identificationData&amp;_occupationPlusportlet_WAR_nnkportlet_backURL=https%3A%2F%2Fpsz.praca.gov.pl%2Frynek-pracy%2Fbazy-danych%2Finfodoradca%2F%3Fp_p_id%3DoccupationPlusportlet_WAR_nnkportlet%26p_p_lifecycle%3D0%26p_p_state%3Dnormal%26p_p_mode%3Dview%26p_p_col_id%3Dcolumn-1%26p_p_col_pos%3D1%26p_p_col_count%3D3%26_occupationPlusportlet_WAR_nnkportlet_query%3Doperator%2B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[dostęp: 26.01.2020]</w:t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2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https://wiklinaleszno.pl/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[dostęp: 26.01.2020]</w:t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2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https://polskieplecionkarstwo.pl/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[dostęp: 26.01.2020]</w:t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2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ff"/>
                  <w:sz w:val="22"/>
                  <w:szCs w:val="22"/>
                  <w:u w:val="single"/>
                  <w:shd w:fill="auto" w:val="clear"/>
                  <w:vertAlign w:val="baseline"/>
                  <w:rtl w:val="0"/>
                </w:rPr>
                <w:t xml:space="preserve">http://www.loza-wiklinapolska.com/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[dostęp: 26.01.2020]</w:t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529" w:right="0" w:firstLine="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169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 5 pozycji bibliograficznych, m.in.:</w:t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Owczarek L.: Wikliniarstwo i koszykarstwo, Wydawnictwo Przemysłu Lekkiego i Spożywczego, Warszawa 1955, </w:t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Bukiewicz H., Zwoliński S.: Uprawa i eksploatacja wikliny. Wydawnictwa Szkolne i Pedagogiczne, Warszawa 1979.</w:t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Kończak T., Korpetta W., Mądrzyk J.: Technologia wikliniarstwa i plecionkarstwa część 1. Wydawnictwa Szkolne i Pedagogiczne, Warszawa 1979.</w:t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Michalik K.: Uprawa wikliny i technologia plecionkarstwa. Ośrodek Doradztwa Rolniczego, Koszalin 2000.</w:t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280" w:before="0" w:line="276" w:lineRule="auto"/>
              <w:ind w:left="72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Kończak T.,  Żurawski J.: Materiałoznawstwo wikliniarskie i plecionkarskie, WSIP, Warszawa 1978.</w:t>
            </w:r>
          </w:p>
          <w:p w:rsidR="00000000" w:rsidDel="00000000" w:rsidP="00000000" w:rsidRDefault="00000000" w:rsidRPr="00000000" w14:paraId="00000195">
            <w:pPr>
              <w:jc w:val="left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A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9B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9C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informacji.</w:t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360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DRM.01 Wykonywanie wyrobów koszykarsko-plecionkarskich.  </w:t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A">
      <w:pPr>
        <w:spacing w:line="240" w:lineRule="auto"/>
        <w:jc w:val="both"/>
        <w:rPr>
          <w:rFonts w:ascii="Arial" w:cs="Arial" w:eastAsia="Arial" w:hAnsi="Arial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„Gatunki wierzb plecionkarskich i warunki ich uprawy”.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B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  <w:p w:rsidR="00000000" w:rsidDel="00000000" w:rsidP="00000000" w:rsidRDefault="00000000" w:rsidRPr="00000000" w14:paraId="000001B3">
            <w:pPr>
              <w:ind w:left="42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B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B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B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2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1" w:type="default"/>
      <w:headerReference r:id="rId12" w:type="first"/>
      <w:headerReference r:id="rId13" w:type="even"/>
      <w:footerReference r:id="rId14" w:type="default"/>
      <w:footerReference r:id="rId15" w:type="first"/>
      <w:footerReference r:id="rId16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⮚"/>
      <w:lvlJc w:val="left"/>
      <w:pPr>
        <w:ind w:left="1529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2249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969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689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4409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5129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849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569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7289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⮚"/>
      <w:lvlJc w:val="left"/>
      <w:pPr>
        <w:ind w:left="785" w:hanging="360"/>
      </w:pPr>
      <w:rPr>
        <w:rFonts w:ascii="Noto Sans Symbols" w:cs="Noto Sans Symbols" w:eastAsia="Noto Sans Symbols" w:hAnsi="Noto Sans Symbols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⮚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table" w:styleId="a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UyteHipercze">
    <w:name w:val="FollowedHyperlink"/>
    <w:basedOn w:val="Domylnaczcionkaakapitu"/>
    <w:uiPriority w:val="99"/>
    <w:semiHidden w:val="1"/>
    <w:unhideWhenUsed w:val="1"/>
    <w:rsid w:val="004F3E27"/>
    <w:rPr>
      <w:color w:val="800080" w:themeColor="followedHyperlink"/>
      <w:u w:val="single"/>
    </w:rPr>
  </w:style>
  <w:style w:type="paragraph" w:styleId="gwpfd9406camsolistparagraph" w:customStyle="1">
    <w:name w:val="gwpfd9406ca_msolistparagraph"/>
    <w:basedOn w:val="Normalny"/>
    <w:rsid w:val="00CC7DD5"/>
    <w:pPr>
      <w:spacing w:after="100" w:afterAutospacing="1" w:before="100" w:beforeAutospacing="1" w:line="240" w:lineRule="auto"/>
      <w:jc w:val="left"/>
    </w:pPr>
    <w:rPr>
      <w:rFonts w:ascii="Times New Roman" w:cs="Times New Roman" w:eastAsia="Times New Roman" w:hAnsi="Times New Roman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://www.loza-wiklinapolska.com/" TargetMode="External"/><Relationship Id="rId13" Type="http://schemas.openxmlformats.org/officeDocument/2006/relationships/header" Target="header2.xml"/><Relationship Id="rId12" Type="http://schemas.openxmlformats.org/officeDocument/2006/relationships/header" Target="head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lskieplecionkarstwo.pl/" TargetMode="External"/><Relationship Id="rId15" Type="http://schemas.openxmlformats.org/officeDocument/2006/relationships/footer" Target="footer2.xml"/><Relationship Id="rId14" Type="http://schemas.openxmlformats.org/officeDocument/2006/relationships/footer" Target="footer3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sz.praca.gov.pl/rynek-pracy/bazy-danych/infodoradca//-/InfoDoradcaPlus/litera/A?_occupationPlusportlet_WAR_nnkportlet_code=818903&amp;_occupationPlusportlet_WAR_nnkportlet_description=identificationData&amp;_occupationPlusportlet_WAR_nnkportlet_backURL=https%3A%2F%2Fpsz.praca.gov.pl%2Frynek-pracy%2Fbazy-danych%2Finfodoradca%2F%3Fp_p_id%3DoccupationPlusportlet_WAR_nnkportlet%26p_p_lifecycle%3D0%26p_p_state%3Dnormal%26p_p_mode%3Dview%26p_p_col_id%3Dcolumn-1%26p_p_col_pos%3D1%26p_p_col_count%3D3%26_occupationPlusportlet_WAR_nnkportlet_query%3Doperator%2B" TargetMode="External"/><Relationship Id="rId8" Type="http://schemas.openxmlformats.org/officeDocument/2006/relationships/hyperlink" Target="https://wiklinaleszno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HCaiioDE0JavXMC/DLoJsCR/44A==">AMUW2mXE59hXgxekyiYJ3NzBsFLWOVmV04e8mM6tI8f9x5MvyicQ/GE5GgRcQyR4UAzKRBmPzys+lvO8FaFliETY4x4oTD50XzHDUwKJHFJPFigy7UpCdb+2HSWXZz6UIFQulQD1/Lsz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2020-05-13T15:11:00Z</dcterms:created>
  <dc:creator>prezentacja</dc:creator>
</cp:coreProperties>
</file>